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3514" w:rsidR="00354959" w:rsidP="00354959" w:rsidRDefault="00512AE1" w14:paraId="41476D45" w14:textId="73F6AD88">
      <w:pPr>
        <w:pStyle w:val="Ttulo1"/>
        <w:spacing w:after="240"/>
        <w:jc w:val="center"/>
        <w:rPr>
          <w:b/>
          <w:bCs/>
        </w:rPr>
      </w:pPr>
      <w:r w:rsidRPr="001F3514">
        <w:rPr>
          <w:b/>
          <w:bCs/>
        </w:rPr>
        <w:t>Consultoría</w:t>
      </w:r>
      <w:r w:rsidRPr="001F3514" w:rsidR="00E839E7">
        <w:rPr>
          <w:b/>
          <w:bCs/>
        </w:rPr>
        <w:t xml:space="preserve"> “Fortalecimiento para</w:t>
      </w:r>
      <w:r w:rsidRPr="001F3514" w:rsidR="00F56B25">
        <w:rPr>
          <w:b/>
          <w:bCs/>
        </w:rPr>
        <w:t xml:space="preserve"> el</w:t>
      </w:r>
      <w:r w:rsidRPr="001F3514" w:rsidR="00E839E7">
        <w:rPr>
          <w:b/>
          <w:bCs/>
        </w:rPr>
        <w:t xml:space="preserve"> monitoreo</w:t>
      </w:r>
      <w:r w:rsidRPr="001F3514" w:rsidR="001A7EE0">
        <w:rPr>
          <w:b/>
          <w:bCs/>
        </w:rPr>
        <w:t xml:space="preserve">, </w:t>
      </w:r>
      <w:r w:rsidRPr="001F3514" w:rsidR="00E839E7">
        <w:rPr>
          <w:b/>
          <w:bCs/>
        </w:rPr>
        <w:t xml:space="preserve">evaluación </w:t>
      </w:r>
      <w:r w:rsidRPr="001F3514" w:rsidR="00F56B25">
        <w:rPr>
          <w:b/>
          <w:bCs/>
        </w:rPr>
        <w:t xml:space="preserve">y la rendición de cuentas </w:t>
      </w:r>
      <w:r w:rsidRPr="001F3514" w:rsidR="00E839E7">
        <w:rPr>
          <w:b/>
          <w:bCs/>
        </w:rPr>
        <w:t>de las organizaciones de la sociedad civil (OSC)</w:t>
      </w:r>
      <w:r w:rsidRPr="001F3514" w:rsidR="00354959">
        <w:rPr>
          <w:b/>
          <w:bCs/>
        </w:rPr>
        <w:t xml:space="preserve">” </w:t>
      </w:r>
    </w:p>
    <w:p w:rsidRPr="001F3514" w:rsidR="00354959" w:rsidP="00354959" w:rsidRDefault="00354959" w14:paraId="7E2E2FC8" w14:textId="78CF3C40">
      <w:pPr>
        <w:pStyle w:val="Ttulo1"/>
        <w:spacing w:after="240"/>
        <w:jc w:val="center"/>
        <w:rPr>
          <w:b/>
          <w:bCs/>
        </w:rPr>
      </w:pPr>
      <w:r w:rsidRPr="001F3514">
        <w:rPr>
          <w:b/>
          <w:bCs/>
        </w:rPr>
        <w:t>Términos de referencia</w:t>
      </w:r>
    </w:p>
    <w:p w:rsidRPr="001F3514" w:rsidR="00512AE1" w:rsidP="00E839E7" w:rsidRDefault="00512AE1" w14:paraId="51F542B2" w14:textId="3524BFEE">
      <w:pPr>
        <w:pStyle w:val="Ttulo1"/>
        <w:jc w:val="both"/>
      </w:pPr>
      <w:r w:rsidRPr="001F3514">
        <w:t>Antecedentes</w:t>
      </w:r>
    </w:p>
    <w:p w:rsidRPr="001F3514" w:rsidR="0039597C" w:rsidP="17E01B2A" w:rsidRDefault="00512AE1" w14:paraId="7607C9B5" w14:textId="29249AF1">
      <w:pPr>
        <w:spacing w:after="240"/>
        <w:jc w:val="both"/>
      </w:pPr>
      <w:r w:rsidRPr="001F3514">
        <w:t>La alianza “Sumar para Transformar” es un esfuerzo realizado entre Fundación Familia BOCAR (FBOCAR), Fundación Dibujando un Mañana (FDUM) y Nacional Monte de Piedad (NMP), la cual tiene como finalidad generar sinergias que contribuyan al fortalecimiento y transformación integral de las Casas Hogar (CH)</w:t>
      </w:r>
      <w:r w:rsidRPr="001F3514" w:rsidR="4E079780">
        <w:t>.</w:t>
      </w:r>
    </w:p>
    <w:p w:rsidRPr="001F3514" w:rsidR="0039597C" w:rsidP="17E01B2A" w:rsidRDefault="4E079780" w14:paraId="4F71D635" w14:textId="7C4CB7C9">
      <w:pPr>
        <w:spacing w:after="240"/>
        <w:jc w:val="both"/>
      </w:pPr>
      <w:r w:rsidRPr="001F3514">
        <w:t>P</w:t>
      </w:r>
      <w:r w:rsidRPr="001F3514" w:rsidR="5C8295A1">
        <w:t xml:space="preserve">or lo que durante el 2022 realizo </w:t>
      </w:r>
      <w:r w:rsidRPr="001F3514" w:rsidR="234312EE">
        <w:t xml:space="preserve">un estudio </w:t>
      </w:r>
      <w:r w:rsidRPr="001F3514" w:rsidR="7CB32144">
        <w:t xml:space="preserve">el </w:t>
      </w:r>
      <w:r w:rsidRPr="001F3514" w:rsidR="234312EE">
        <w:t>cual le permiti</w:t>
      </w:r>
      <w:r w:rsidRPr="001F3514" w:rsidR="7BF5AACA">
        <w:t>ó</w:t>
      </w:r>
      <w:r w:rsidRPr="001F3514" w:rsidR="234312EE">
        <w:t xml:space="preserve"> diagnosticar los modelos de intervenci</w:t>
      </w:r>
      <w:r w:rsidRPr="001F3514" w:rsidR="68D4ACB1">
        <w:t>ó</w:t>
      </w:r>
      <w:r w:rsidRPr="001F3514" w:rsidR="234312EE">
        <w:t xml:space="preserve">n de </w:t>
      </w:r>
      <w:r w:rsidRPr="001F3514" w:rsidR="029EC22A">
        <w:t xml:space="preserve">los internados y </w:t>
      </w:r>
      <w:r w:rsidRPr="001F3514" w:rsidR="234312EE">
        <w:t>las casas hogar</w:t>
      </w:r>
      <w:r w:rsidRPr="001F3514" w:rsidR="375DFE6D">
        <w:t>, entender sus problemáticas, construir una primera versión de ruta de cambio e identificar indicadores de costo, mediano y largo plazo</w:t>
      </w:r>
      <w:r w:rsidRPr="001F3514" w:rsidR="018CE16D">
        <w:t>.</w:t>
      </w:r>
    </w:p>
    <w:p w:rsidRPr="001F3514" w:rsidR="00512AE1" w:rsidP="00E839E7" w:rsidRDefault="018CE16D" w14:paraId="598DCF75" w14:textId="0478A72D">
      <w:pPr>
        <w:spacing w:after="240"/>
        <w:jc w:val="both"/>
      </w:pPr>
      <w:r w:rsidRPr="001F3514">
        <w:t xml:space="preserve">Por otra </w:t>
      </w:r>
      <w:r w:rsidRPr="001F3514" w:rsidR="005C48E0">
        <w:t>parte,</w:t>
      </w:r>
      <w:r w:rsidRPr="001F3514">
        <w:t xml:space="preserve"> se lanz</w:t>
      </w:r>
      <w:r w:rsidRPr="001F3514" w:rsidR="00CC4D1F">
        <w:t>ó</w:t>
      </w:r>
      <w:r w:rsidRPr="001F3514">
        <w:t xml:space="preserve"> una Convocatoria para financiar 23 proyectos y de </w:t>
      </w:r>
      <w:r w:rsidRPr="001F3514" w:rsidR="3C4B0142">
        <w:t xml:space="preserve">los cuales </w:t>
      </w:r>
      <w:r w:rsidRPr="001F3514">
        <w:t>esperamos rindan cuentas</w:t>
      </w:r>
      <w:r w:rsidRPr="001F3514" w:rsidR="00512AE1">
        <w:t xml:space="preserve"> en </w:t>
      </w:r>
      <w:r w:rsidRPr="001F3514">
        <w:t>di</w:t>
      </w:r>
      <w:r w:rsidRPr="001F3514" w:rsidR="4DE87671">
        <w:t xml:space="preserve">ciembre de 2023, los proyectos pueden estar orientados a las siguientes </w:t>
      </w:r>
      <w:r w:rsidRPr="001F3514" w:rsidR="002D6DBB">
        <w:t>líneas</w:t>
      </w:r>
      <w:r w:rsidRPr="001F3514" w:rsidR="4DE87671">
        <w:t xml:space="preserve"> </w:t>
      </w:r>
      <w:r w:rsidRPr="001F3514" w:rsidR="002D6DBB">
        <w:t>estratégicas</w:t>
      </w:r>
      <w:r w:rsidRPr="001F3514" w:rsidR="4DE87671">
        <w:t>.</w:t>
      </w:r>
      <w:r w:rsidRPr="001F3514" w:rsidR="0039597C">
        <w:t xml:space="preserve"> </w:t>
      </w:r>
    </w:p>
    <w:p w:rsidRPr="001F3514" w:rsidR="0039597C" w:rsidP="00E839E7" w:rsidRDefault="0039597C" w14:paraId="69F2EAF9" w14:textId="6DE02DF2">
      <w:pPr>
        <w:pStyle w:val="Prrafodelista"/>
        <w:numPr>
          <w:ilvl w:val="0"/>
          <w:numId w:val="9"/>
        </w:numPr>
        <w:spacing w:after="240"/>
        <w:jc w:val="both"/>
      </w:pPr>
      <w:r w:rsidRPr="001F3514">
        <w:rPr>
          <w:b/>
          <w:bCs/>
        </w:rPr>
        <w:t>Línea Estratégica 1:</w:t>
      </w:r>
      <w:r w:rsidRPr="001F3514">
        <w:t xml:space="preserve"> Acceso a servicios que garantizan el ejercicio pleno de los derechos humanos de la diversidad de niñas, niños</w:t>
      </w:r>
      <w:r w:rsidRPr="001F3514" w:rsidR="00A424B9">
        <w:t>, adolescentes</w:t>
      </w:r>
      <w:r w:rsidRPr="001F3514">
        <w:t xml:space="preserve"> y jóvenes (NNAyJ) privados de cuidados parentales.</w:t>
      </w:r>
    </w:p>
    <w:p w:rsidRPr="001F3514" w:rsidR="0039597C" w:rsidP="00E839E7" w:rsidRDefault="0039597C" w14:paraId="36E13198" w14:textId="58268163">
      <w:pPr>
        <w:pStyle w:val="Prrafodelista"/>
        <w:numPr>
          <w:ilvl w:val="0"/>
          <w:numId w:val="9"/>
        </w:numPr>
        <w:spacing w:after="240"/>
        <w:jc w:val="both"/>
      </w:pPr>
      <w:r w:rsidRPr="001F3514">
        <w:rPr>
          <w:b/>
          <w:bCs/>
        </w:rPr>
        <w:t>Línea Estratégica 2:</w:t>
      </w:r>
      <w:r w:rsidRPr="001F3514">
        <w:t xml:space="preserve"> Fortalecimiento de los modelos de intervención y recursos humanos de la Casa Hogar desde los enfoques de Derechos Humanos de NNAyJ y Gestión para resultados de desarrollo.</w:t>
      </w:r>
    </w:p>
    <w:p w:rsidRPr="001F3514" w:rsidR="0039597C" w:rsidP="00E839E7" w:rsidRDefault="0039597C" w14:paraId="2104A0F3" w14:textId="2D6D3A20">
      <w:pPr>
        <w:pStyle w:val="Prrafodelista"/>
        <w:numPr>
          <w:ilvl w:val="0"/>
          <w:numId w:val="9"/>
        </w:numPr>
        <w:spacing w:after="240"/>
        <w:jc w:val="both"/>
      </w:pPr>
      <w:r w:rsidRPr="001F3514">
        <w:rPr>
          <w:b/>
          <w:bCs/>
        </w:rPr>
        <w:t>Línea Estratégica 3:</w:t>
      </w:r>
      <w:r w:rsidRPr="001F3514">
        <w:t xml:space="preserve"> Articulación de la Casa Hogar con el entorno familiar y comunitario de NNAyJ privados de cuidados parentales a fin de contribuir al derecho de vivir en familia e integrarse al entorno </w:t>
      </w:r>
      <w:r w:rsidRPr="001F3514" w:rsidR="00E8228B">
        <w:t>socio comunitario</w:t>
      </w:r>
      <w:r w:rsidRPr="001F3514">
        <w:t>.</w:t>
      </w:r>
    </w:p>
    <w:p w:rsidRPr="001F3514" w:rsidR="00513BD3" w:rsidP="00E839E7" w:rsidRDefault="00513BD3" w14:paraId="48BE42E5" w14:textId="2E8B3B60">
      <w:pPr>
        <w:pStyle w:val="Prrafodelista"/>
        <w:numPr>
          <w:ilvl w:val="0"/>
          <w:numId w:val="9"/>
        </w:numPr>
        <w:spacing w:after="240"/>
        <w:jc w:val="both"/>
      </w:pPr>
      <w:r w:rsidRPr="001F3514">
        <w:rPr>
          <w:b/>
          <w:bCs/>
        </w:rPr>
        <w:t>Línea Estratégica 4:</w:t>
      </w:r>
      <w:r w:rsidRPr="001F3514">
        <w:t xml:space="preserve"> Articulación de la Casa Hogar con otras instituciones públicas y privadas corresponsables de la gestión de las trayectorias de vida de NNAyJ privados de cuidados parentales.</w:t>
      </w:r>
    </w:p>
    <w:p w:rsidRPr="001F3514" w:rsidR="00512AE1" w:rsidP="00E839E7" w:rsidRDefault="00512AE1" w14:paraId="0CEBB91A" w14:textId="7C597314">
      <w:pPr>
        <w:spacing w:after="240"/>
        <w:jc w:val="both"/>
      </w:pPr>
      <w:r w:rsidRPr="001F3514">
        <w:rPr>
          <w:b/>
          <w:bCs/>
        </w:rPr>
        <w:t>Fundación Familia BOCAR (FBOCAR)</w:t>
      </w:r>
      <w:r w:rsidRPr="001F3514">
        <w:t>, trabaja para apoyar Organizaciones de la Sociedad Civil</w:t>
      </w:r>
      <w:r w:rsidRPr="001F3514" w:rsidR="0039597C">
        <w:t xml:space="preserve"> (OSC)</w:t>
      </w:r>
      <w:r w:rsidRPr="001F3514">
        <w:t xml:space="preserve"> que cuenten con modelos de intervención enfocados en impulsar el desarrollo y oportunidades de sus comunidades, poniendo énfasis en educación, atención mediante el esquema de Casa Hogar y la respuesta a emergencias.</w:t>
      </w:r>
    </w:p>
    <w:p w:rsidRPr="001F3514" w:rsidR="00512AE1" w:rsidP="00E839E7" w:rsidRDefault="00512AE1" w14:paraId="3D5BAA65" w14:textId="7962024D">
      <w:pPr>
        <w:spacing w:after="240"/>
        <w:jc w:val="both"/>
      </w:pPr>
      <w:r w:rsidRPr="001F3514">
        <w:rPr>
          <w:b/>
          <w:bCs/>
        </w:rPr>
        <w:t>Nacional Monte de Piedad (NMP)</w:t>
      </w:r>
      <w:r w:rsidRPr="001F3514">
        <w:t>, en su rol de inversionista social, y en medida de sus posibilidades, trabaja para buscar soluciones que acompañen a las Organizaciones de la Sociedad Civil aliadas y Casas Hogar para que mantengan y se sumen a los esfuerzos de las agendas globales de desarrollo, poniendo énfasis en la promoción, protección y restitución de los Derechos Humanos.</w:t>
      </w:r>
    </w:p>
    <w:p w:rsidRPr="001F3514" w:rsidR="00512AE1" w:rsidP="00E839E7" w:rsidRDefault="00512AE1" w14:paraId="5DE3E487" w14:textId="57931B79">
      <w:pPr>
        <w:spacing w:after="240"/>
        <w:jc w:val="both"/>
      </w:pPr>
      <w:r w:rsidRPr="001F3514">
        <w:rPr>
          <w:b/>
          <w:bCs/>
        </w:rPr>
        <w:lastRenderedPageBreak/>
        <w:t>Fundación Dibujando un Mañana (FDUM)</w:t>
      </w:r>
      <w:r w:rsidRPr="001F3514">
        <w:t>, tiene como propósito contribuir a que las niñas, niños, adolescentes y jóvenes en situación vulnerable ejerzan sus derechos para mejorar su calidad de vida, a través del fortalecimiento a las instituciones que los atienden para que sean más eficaces y sostenibles. Gracias al apoyo de SC Johnson, empresa líder en productos de limpieza y cuidado del hogar, se desarrolla la alianza “Tú Puedes Ayudar” que le permite a FDUM ser parte de “Sumar para Transformar”.</w:t>
      </w:r>
    </w:p>
    <w:p w:rsidRPr="001F3514" w:rsidR="00FB6715" w:rsidP="00E839E7" w:rsidRDefault="00FB6715" w14:paraId="49A9B686" w14:textId="0ECBFF69">
      <w:pPr>
        <w:pStyle w:val="Ttulo1"/>
        <w:jc w:val="both"/>
      </w:pPr>
      <w:r w:rsidRPr="001F3514">
        <w:t>Contexto</w:t>
      </w:r>
    </w:p>
    <w:p w:rsidRPr="001F3514" w:rsidR="00881832" w:rsidP="17E01B2A" w:rsidRDefault="2A3C5DFD" w14:paraId="091F5BFA" w14:textId="29592AD2">
      <w:pPr>
        <w:jc w:val="both"/>
      </w:pPr>
      <w:r w:rsidRPr="001F3514">
        <w:t>La</w:t>
      </w:r>
      <w:r w:rsidRPr="001F3514" w:rsidR="2F87876F">
        <w:t xml:space="preserve"> falta de cuidados parentales de los NNA justifica la existencia </w:t>
      </w:r>
      <w:r w:rsidRPr="001F3514" w:rsidR="1540906C">
        <w:t>de</w:t>
      </w:r>
      <w:r w:rsidRPr="001F3514">
        <w:t xml:space="preserve"> las Casas Hogar </w:t>
      </w:r>
      <w:r w:rsidRPr="001F3514" w:rsidR="314B1543">
        <w:t>e</w:t>
      </w:r>
      <w:r w:rsidRPr="001F3514">
        <w:t xml:space="preserve">n México </w:t>
      </w:r>
      <w:r w:rsidRPr="001F3514" w:rsidR="6412414A">
        <w:t>ya que est</w:t>
      </w:r>
      <w:r w:rsidRPr="001F3514" w:rsidR="55A85384">
        <w:t xml:space="preserve">as OSC son vehículos </w:t>
      </w:r>
      <w:r w:rsidRPr="001F3514" w:rsidR="53E5759D">
        <w:t>transitorios para que los NNA mejoren su calidad de vi</w:t>
      </w:r>
      <w:r w:rsidRPr="001F3514" w:rsidR="4BBBA468">
        <w:t>d</w:t>
      </w:r>
      <w:r w:rsidRPr="001F3514" w:rsidR="53E5759D">
        <w:t>a</w:t>
      </w:r>
      <w:r w:rsidRPr="001F3514" w:rsidR="624D87CB">
        <w:t xml:space="preserve"> y logren su sano desarrollo</w:t>
      </w:r>
      <w:r w:rsidRPr="001F3514" w:rsidR="53E5759D">
        <w:t>. Los problemas</w:t>
      </w:r>
      <w:r w:rsidRPr="001F3514" w:rsidR="1ED35575">
        <w:t xml:space="preserve"> </w:t>
      </w:r>
      <w:r w:rsidRPr="001F3514" w:rsidR="53E5759D">
        <w:t xml:space="preserve">que </w:t>
      </w:r>
      <w:r w:rsidRPr="001F3514" w:rsidR="10EC30D8">
        <w:t>enfrentan</w:t>
      </w:r>
      <w:r w:rsidRPr="001F3514" w:rsidR="1DAAEB01">
        <w:t xml:space="preserve"> los </w:t>
      </w:r>
      <w:r w:rsidRPr="001F3514" w:rsidR="521B3210">
        <w:t>I</w:t>
      </w:r>
      <w:r w:rsidRPr="001F3514" w:rsidR="1DAAEB01">
        <w:t xml:space="preserve">nternados y </w:t>
      </w:r>
      <w:r w:rsidRPr="001F3514" w:rsidR="3DBDDFFD">
        <w:t xml:space="preserve">las </w:t>
      </w:r>
      <w:r w:rsidRPr="001F3514" w:rsidR="1DAAEB01">
        <w:t xml:space="preserve">Casas Hogar </w:t>
      </w:r>
      <w:r w:rsidRPr="001F3514" w:rsidR="10EC30D8">
        <w:t>son</w:t>
      </w:r>
      <w:r w:rsidRPr="001F3514" w:rsidR="6412414A">
        <w:t xml:space="preserve">: </w:t>
      </w:r>
      <w:r w:rsidRPr="001F3514" w:rsidR="6593D2C1">
        <w:t>m</w:t>
      </w:r>
      <w:r w:rsidRPr="001F3514" w:rsidR="6412414A">
        <w:t>altrato y violencia intrafamiliar</w:t>
      </w:r>
      <w:r w:rsidRPr="001F3514" w:rsidR="223B3305">
        <w:t>,</w:t>
      </w:r>
      <w:r w:rsidRPr="001F3514" w:rsidR="6412414A">
        <w:t xml:space="preserve"> </w:t>
      </w:r>
      <w:r w:rsidRPr="001F3514" w:rsidR="2843E268">
        <w:t xml:space="preserve">rezago y abandono escolar, </w:t>
      </w:r>
      <w:r w:rsidRPr="001F3514" w:rsidR="2A1B1C35">
        <w:t>acogimiento por vulnerabilidad econ</w:t>
      </w:r>
      <w:r w:rsidRPr="001F3514" w:rsidR="60A4694B">
        <w:t>ó</w:t>
      </w:r>
      <w:r w:rsidRPr="001F3514" w:rsidR="2A1B1C35">
        <w:t xml:space="preserve">mica familiar, </w:t>
      </w:r>
      <w:r w:rsidRPr="001F3514" w:rsidR="7AEB604E">
        <w:t>abandono</w:t>
      </w:r>
      <w:r w:rsidRPr="001F3514" w:rsidR="0E86E369">
        <w:t xml:space="preserve"> por parte de los padres</w:t>
      </w:r>
      <w:r w:rsidRPr="001F3514" w:rsidR="7AEB604E">
        <w:t>, situación de calle, orfandad, etc.</w:t>
      </w:r>
    </w:p>
    <w:p w:rsidRPr="001F3514" w:rsidR="00881832" w:rsidP="17E01B2A" w:rsidRDefault="00FB6715" w14:paraId="4191E1E0" w14:textId="00D86BC0">
      <w:pPr>
        <w:jc w:val="both"/>
      </w:pPr>
      <w:r w:rsidRPr="001F3514">
        <w:t xml:space="preserve">Las OSC desempeñan un papel </w:t>
      </w:r>
      <w:r w:rsidRPr="001F3514" w:rsidR="00E839E7">
        <w:t>crucial</w:t>
      </w:r>
      <w:r w:rsidRPr="001F3514">
        <w:t xml:space="preserve"> en el desarrollo de sus comunidades y países, abordando desafíos sociales y abogando por el cambio en los sistema</w:t>
      </w:r>
      <w:r w:rsidRPr="001F3514" w:rsidR="00E839E7">
        <w:t xml:space="preserve">s </w:t>
      </w:r>
      <w:r w:rsidRPr="001F3514">
        <w:t xml:space="preserve">y políticas; sin embargo, </w:t>
      </w:r>
      <w:r w:rsidRPr="001F3514" w:rsidR="60F01A44">
        <w:t xml:space="preserve">existen </w:t>
      </w:r>
      <w:r w:rsidRPr="001F3514">
        <w:t xml:space="preserve">desafíos </w:t>
      </w:r>
      <w:r w:rsidRPr="001F3514" w:rsidR="60F01A44">
        <w:rPr>
          <w:rFonts w:ascii="Calibri" w:hAnsi="Calibri" w:eastAsia="Calibri" w:cs="Calibri"/>
        </w:rPr>
        <w:t xml:space="preserve">que requiere pensar </w:t>
      </w:r>
      <w:r w:rsidRPr="001F3514" w:rsidR="40C6BEFF">
        <w:rPr>
          <w:rFonts w:ascii="Calibri" w:hAnsi="Calibri" w:eastAsia="Calibri" w:cs="Calibri"/>
        </w:rPr>
        <w:t xml:space="preserve">en homologar como se medirán los cambios y para ello es necesario </w:t>
      </w:r>
      <w:r w:rsidRPr="001F3514" w:rsidR="60F01A44">
        <w:rPr>
          <w:rFonts w:ascii="Calibri" w:hAnsi="Calibri" w:eastAsia="Calibri" w:cs="Calibri"/>
        </w:rPr>
        <w:t xml:space="preserve">incorporar metodologías de </w:t>
      </w:r>
      <w:r w:rsidRPr="001F3514" w:rsidR="00E839E7">
        <w:rPr>
          <w:rFonts w:ascii="Calibri" w:hAnsi="Calibri" w:eastAsia="Calibri" w:cs="Calibri"/>
        </w:rPr>
        <w:t>monitoreo</w:t>
      </w:r>
      <w:r w:rsidRPr="001F3514">
        <w:rPr>
          <w:rFonts w:ascii="Calibri" w:hAnsi="Calibri" w:eastAsia="Calibri" w:cs="Calibri"/>
        </w:rPr>
        <w:t xml:space="preserve"> y evaluación </w:t>
      </w:r>
      <w:r w:rsidRPr="001F3514" w:rsidR="60F01A44">
        <w:rPr>
          <w:rFonts w:ascii="Calibri" w:hAnsi="Calibri" w:eastAsia="Calibri" w:cs="Calibri"/>
        </w:rPr>
        <w:t xml:space="preserve">que permitan analizar el progreso, </w:t>
      </w:r>
      <w:r w:rsidRPr="001F3514">
        <w:rPr>
          <w:rFonts w:ascii="Calibri" w:hAnsi="Calibri" w:eastAsia="Calibri" w:cs="Calibri"/>
        </w:rPr>
        <w:t xml:space="preserve">aprender </w:t>
      </w:r>
      <w:r w:rsidRPr="001F3514" w:rsidR="60F01A44">
        <w:rPr>
          <w:rFonts w:ascii="Calibri" w:hAnsi="Calibri" w:eastAsia="Calibri" w:cs="Calibri"/>
        </w:rPr>
        <w:t>las lecciones, ajustar el enfoque, ampliar la red de alianzas</w:t>
      </w:r>
      <w:r w:rsidRPr="001F3514" w:rsidR="0BB49ED7">
        <w:rPr>
          <w:rFonts w:ascii="Calibri" w:hAnsi="Calibri" w:eastAsia="Calibri" w:cs="Calibri"/>
        </w:rPr>
        <w:t>,</w:t>
      </w:r>
      <w:r w:rsidRPr="001F3514">
        <w:rPr>
          <w:rFonts w:ascii="Calibri" w:hAnsi="Calibri" w:eastAsia="Calibri" w:cs="Calibri"/>
        </w:rPr>
        <w:t xml:space="preserve"> mejorar </w:t>
      </w:r>
      <w:r w:rsidRPr="001F3514" w:rsidR="37A9F2FE">
        <w:rPr>
          <w:rFonts w:ascii="Calibri" w:hAnsi="Calibri" w:eastAsia="Calibri" w:cs="Calibri"/>
        </w:rPr>
        <w:t>la contribución o el impacto y divulgar los logros.</w:t>
      </w:r>
      <w:r w:rsidRPr="001F3514" w:rsidR="00881832">
        <w:t xml:space="preserve"> </w:t>
      </w:r>
    </w:p>
    <w:p w:rsidRPr="001F3514" w:rsidR="00881832" w:rsidP="00E839E7" w:rsidRDefault="00881832" w14:paraId="3D36DD06" w14:textId="52204793">
      <w:pPr>
        <w:pStyle w:val="Ttulo2"/>
        <w:jc w:val="both"/>
      </w:pPr>
      <w:r w:rsidRPr="001F3514">
        <w:t>Objetivo general</w:t>
      </w:r>
    </w:p>
    <w:p w:rsidRPr="001F3514" w:rsidR="00881832" w:rsidP="00E839E7" w:rsidRDefault="0011226C" w14:paraId="3B66C199" w14:textId="04215D62">
      <w:pPr>
        <w:jc w:val="both"/>
      </w:pPr>
      <w:r w:rsidRPr="001F3514">
        <w:t xml:space="preserve">Fortalecer </w:t>
      </w:r>
      <w:r w:rsidRPr="001F3514" w:rsidR="00FB6715">
        <w:t>a</w:t>
      </w:r>
      <w:r w:rsidRPr="001F3514">
        <w:t xml:space="preserve"> </w:t>
      </w:r>
      <w:r w:rsidRPr="001F3514" w:rsidR="006F41EC">
        <w:t>23</w:t>
      </w:r>
      <w:r w:rsidRPr="001F3514">
        <w:t xml:space="preserve"> de organizaciones</w:t>
      </w:r>
      <w:r w:rsidRPr="001F3514" w:rsidR="00C34A6C">
        <w:t xml:space="preserve"> participantes en la iniciativa de “Sumar para Transformar”</w:t>
      </w:r>
      <w:r w:rsidRPr="001F3514">
        <w:t xml:space="preserve"> </w:t>
      </w:r>
      <w:r w:rsidRPr="001F3514" w:rsidR="00FB6715">
        <w:t xml:space="preserve">para mejorar su capacidad </w:t>
      </w:r>
      <w:r w:rsidRPr="001F3514" w:rsidR="06818896">
        <w:t>individual y colectiva</w:t>
      </w:r>
      <w:r w:rsidRPr="001F3514" w:rsidR="6E73C56B">
        <w:t xml:space="preserve"> para</w:t>
      </w:r>
      <w:r w:rsidRPr="001F3514" w:rsidR="00FB6715">
        <w:t xml:space="preserve"> demostrar su</w:t>
      </w:r>
      <w:r w:rsidRPr="001F3514" w:rsidR="005A1A63">
        <w:t>s efectos</w:t>
      </w:r>
      <w:r w:rsidRPr="001F3514" w:rsidR="0A60899A">
        <w:t xml:space="preserve"> de corto y mediano plazo</w:t>
      </w:r>
      <w:r w:rsidRPr="001F3514" w:rsidR="00FB6715">
        <w:t>,</w:t>
      </w:r>
      <w:r w:rsidRPr="001F3514" w:rsidR="3276DCBD">
        <w:t xml:space="preserve"> aprovechar y compartir aprendizajes </w:t>
      </w:r>
      <w:r w:rsidRPr="001F3514" w:rsidR="580BA760">
        <w:t>con otros actores</w:t>
      </w:r>
      <w:r w:rsidRPr="001F3514" w:rsidR="00FB6715">
        <w:t>, tomar decisiones basadas en evidencia</w:t>
      </w:r>
      <w:r w:rsidRPr="001F3514" w:rsidR="45FDAFB5">
        <w:t>,</w:t>
      </w:r>
      <w:r w:rsidRPr="001F3514" w:rsidR="00FB6715">
        <w:t xml:space="preserve"> aprender de </w:t>
      </w:r>
      <w:r w:rsidRPr="001F3514" w:rsidR="46E03D55">
        <w:t>la experiencia y divulgar logros</w:t>
      </w:r>
      <w:r w:rsidRPr="001F3514" w:rsidR="00FB6715">
        <w:t>.</w:t>
      </w:r>
    </w:p>
    <w:p w:rsidRPr="001F3514" w:rsidR="00C21D89" w:rsidP="00E839E7" w:rsidRDefault="00C21D89" w14:paraId="6AA0D45D" w14:textId="368BC8CD">
      <w:pPr>
        <w:pStyle w:val="Ttulo2"/>
        <w:jc w:val="both"/>
      </w:pPr>
      <w:r w:rsidRPr="001F3514">
        <w:t>Objetivos específicos</w:t>
      </w:r>
    </w:p>
    <w:p w:rsidRPr="001F3514" w:rsidR="0039597C" w:rsidP="00E839E7" w:rsidRDefault="00C21D89" w14:paraId="4FE2690B" w14:textId="3E65D929">
      <w:pPr>
        <w:pStyle w:val="Prrafodelista"/>
        <w:numPr>
          <w:ilvl w:val="0"/>
          <w:numId w:val="7"/>
        </w:numPr>
        <w:jc w:val="both"/>
      </w:pPr>
      <w:r w:rsidRPr="001F3514">
        <w:t>Analizar la</w:t>
      </w:r>
      <w:r w:rsidRPr="001F3514" w:rsidR="502DAF30">
        <w:t xml:space="preserve"> </w:t>
      </w:r>
      <w:r w:rsidRPr="001F3514">
        <w:t xml:space="preserve">información </w:t>
      </w:r>
      <w:r w:rsidRPr="001F3514" w:rsidR="6E2506FA">
        <w:t>para caracterizar a las OSC y ofrecer un fortalecimiento pertinente</w:t>
      </w:r>
      <w:r w:rsidRPr="001F3514">
        <w:t>.</w:t>
      </w:r>
    </w:p>
    <w:p w:rsidRPr="001F3514" w:rsidR="0039597C" w:rsidP="1BDE3215" w:rsidRDefault="1956B041" w14:paraId="55934B20" w14:textId="29F09B38">
      <w:pPr>
        <w:pStyle w:val="Prrafodelista"/>
        <w:numPr>
          <w:ilvl w:val="0"/>
          <w:numId w:val="7"/>
        </w:numPr>
        <w:jc w:val="both"/>
        <w:rPr>
          <w:rFonts w:ascii="Calibri" w:hAnsi="Calibri" w:eastAsia="Calibri" w:cs="Calibri"/>
        </w:rPr>
      </w:pPr>
      <w:r w:rsidRPr="001F3514">
        <w:rPr>
          <w:rFonts w:ascii="Calibri" w:hAnsi="Calibri" w:eastAsia="Calibri" w:cs="Calibri"/>
        </w:rPr>
        <w:t>Introducir a los participantes en</w:t>
      </w:r>
      <w:r w:rsidRPr="001F3514" w:rsidR="6650DF4F">
        <w:rPr>
          <w:rFonts w:ascii="Calibri" w:hAnsi="Calibri" w:eastAsia="Calibri" w:cs="Calibri"/>
        </w:rPr>
        <w:t xml:space="preserve"> conceptos teóricos y técnicos de la evaluación y el monitoreo</w:t>
      </w:r>
      <w:r w:rsidRPr="001F3514" w:rsidR="46422D7B">
        <w:rPr>
          <w:rFonts w:ascii="Calibri" w:hAnsi="Calibri" w:eastAsia="Calibri" w:cs="Calibri"/>
        </w:rPr>
        <w:t>.</w:t>
      </w:r>
    </w:p>
    <w:p w:rsidRPr="001F3514" w:rsidR="0039597C" w:rsidP="00E839E7" w:rsidRDefault="400FA544" w14:paraId="2DB47958" w14:textId="6BE3F0E7">
      <w:pPr>
        <w:pStyle w:val="Prrafodelista"/>
        <w:numPr>
          <w:ilvl w:val="0"/>
          <w:numId w:val="7"/>
        </w:numPr>
        <w:jc w:val="both"/>
      </w:pPr>
      <w:r w:rsidRPr="001F3514">
        <w:t xml:space="preserve">Acompañar a la Alianza </w:t>
      </w:r>
      <w:r w:rsidRPr="001F3514" w:rsidR="1F42B2FF">
        <w:t xml:space="preserve">“Sumar para Transformar” </w:t>
      </w:r>
      <w:r w:rsidRPr="001F3514">
        <w:t xml:space="preserve">a </w:t>
      </w:r>
      <w:r w:rsidRPr="001F3514" w:rsidR="6DEE7361">
        <w:t xml:space="preserve">implementar un sistema de monitoreo y evaluación en un conjunto de OSC a partir de una matriz de variables </w:t>
      </w:r>
      <w:r w:rsidRPr="001F3514" w:rsidR="1FA26EBF">
        <w:t>pro</w:t>
      </w:r>
      <w:r w:rsidRPr="001F3514" w:rsidR="5E32F9E5">
        <w:t xml:space="preserve">puesto que permita medir la ruta de cambio. </w:t>
      </w:r>
      <w:r w:rsidRPr="001F3514">
        <w:t xml:space="preserve"> </w:t>
      </w:r>
    </w:p>
    <w:p w:rsidRPr="001F3514" w:rsidR="0039597C" w:rsidP="00E839E7" w:rsidRDefault="3FC81E04" w14:paraId="47224338" w14:textId="060E2AC4">
      <w:pPr>
        <w:pStyle w:val="Prrafodelista"/>
        <w:numPr>
          <w:ilvl w:val="0"/>
          <w:numId w:val="7"/>
        </w:numPr>
        <w:jc w:val="both"/>
      </w:pPr>
      <w:r w:rsidRPr="001F3514">
        <w:t>Acompañar a</w:t>
      </w:r>
      <w:r w:rsidRPr="001F3514" w:rsidR="3CCF3364">
        <w:t xml:space="preserve"> que las OSC </w:t>
      </w:r>
      <w:r w:rsidRPr="001F3514" w:rsidR="5C699E23">
        <w:t xml:space="preserve">adopten indicadores de cobertura y resultados, </w:t>
      </w:r>
      <w:r w:rsidRPr="001F3514" w:rsidR="3CCF3364">
        <w:t>diseñen un sistema de monitoreo y evaluación</w:t>
      </w:r>
      <w:r w:rsidRPr="001F3514" w:rsidR="7A3A60B1">
        <w:t xml:space="preserve"> y seleccionen instrumentos de recolección.</w:t>
      </w:r>
      <w:r w:rsidRPr="001F3514" w:rsidR="786409B7">
        <w:t xml:space="preserve"> </w:t>
      </w:r>
    </w:p>
    <w:p w:rsidRPr="001F3514" w:rsidR="006F4104" w:rsidP="1BDE3215" w:rsidRDefault="0A588898" w14:paraId="46FDA1D3" w14:textId="5267AA1F">
      <w:pPr>
        <w:pStyle w:val="Prrafodelista"/>
        <w:numPr>
          <w:ilvl w:val="0"/>
          <w:numId w:val="7"/>
        </w:numPr>
        <w:jc w:val="both"/>
      </w:pPr>
      <w:r w:rsidRPr="001F3514">
        <w:t xml:space="preserve">Construir </w:t>
      </w:r>
      <w:r w:rsidRPr="001F3514" w:rsidR="023B0018">
        <w:t xml:space="preserve">las </w:t>
      </w:r>
      <w:r w:rsidRPr="001F3514" w:rsidR="006F4104">
        <w:t xml:space="preserve">herramientas, </w:t>
      </w:r>
      <w:r w:rsidRPr="001F3514" w:rsidR="00856E27">
        <w:t>instrumentos</w:t>
      </w:r>
      <w:r w:rsidRPr="001F3514" w:rsidR="006F4104">
        <w:t xml:space="preserve"> y procesos comunes para el levantamiento de información</w:t>
      </w:r>
      <w:r w:rsidRPr="001F3514" w:rsidR="00856E27">
        <w:t>.</w:t>
      </w:r>
    </w:p>
    <w:p w:rsidRPr="001F3514" w:rsidR="00C158E1" w:rsidP="1BDE3215" w:rsidRDefault="0039597C" w14:paraId="15928EE9" w14:textId="1102B0A7">
      <w:pPr>
        <w:pStyle w:val="Prrafodelista"/>
        <w:numPr>
          <w:ilvl w:val="0"/>
          <w:numId w:val="7"/>
        </w:numPr>
        <w:jc w:val="both"/>
      </w:pPr>
      <w:r w:rsidRPr="001F3514">
        <w:t>Sensibilizar a las organizaciones en la transversalización de los enfoques de Derechos Humanos y Gestión para Resultados de Desarrollo.</w:t>
      </w:r>
    </w:p>
    <w:p w:rsidRPr="001F3514" w:rsidR="00C34A6C" w:rsidP="00E839E7" w:rsidRDefault="0039597C" w14:paraId="41E62D60" w14:textId="70BCA62A">
      <w:pPr>
        <w:pStyle w:val="Ttulo1"/>
        <w:jc w:val="both"/>
      </w:pPr>
      <w:r w:rsidRPr="001F3514">
        <w:t xml:space="preserve">Alcance </w:t>
      </w:r>
    </w:p>
    <w:p w:rsidRPr="001F3514" w:rsidR="00CC4A1A" w:rsidP="00E839E7" w:rsidRDefault="0039597C" w14:paraId="19F34D5B" w14:textId="738E55CD">
      <w:pPr>
        <w:jc w:val="both"/>
      </w:pPr>
      <w:r w:rsidRPr="001F3514">
        <w:t>La consultoría pretende que cada OSC cuente con los elementos necesarios</w:t>
      </w:r>
      <w:r w:rsidRPr="001F3514" w:rsidR="00CC4A1A">
        <w:t xml:space="preserve"> para una correcta rendición de cuentas con base en sistemas de monitoreo y evaluación enfocado en Derechos Humanos y la Gestión para Resultados de Desarrollo</w:t>
      </w:r>
      <w:r w:rsidRPr="001F3514" w:rsidR="00E839E7">
        <w:t xml:space="preserve"> en un periodo de 6 meses</w:t>
      </w:r>
    </w:p>
    <w:p w:rsidRPr="001F3514" w:rsidR="00CC4A1A" w:rsidP="00E839E7" w:rsidRDefault="004D2B4A" w14:paraId="72BBFB15" w14:textId="6302D79D">
      <w:pPr>
        <w:pStyle w:val="Ttulo1"/>
        <w:jc w:val="both"/>
      </w:pPr>
      <w:r w:rsidRPr="001F3514">
        <w:lastRenderedPageBreak/>
        <w:t>Descripción específica del servicio</w:t>
      </w:r>
    </w:p>
    <w:p w:rsidRPr="001F3514" w:rsidR="004D2B4A" w:rsidP="00E839E7" w:rsidRDefault="004D2B4A" w14:paraId="7F169F89" w14:textId="7492BEEE">
      <w:pPr>
        <w:jc w:val="both"/>
      </w:pPr>
      <w:r w:rsidRPr="001F3514">
        <w:t>La consultoría deberá contar como mínimo con las siguientes fases:</w:t>
      </w:r>
    </w:p>
    <w:p w:rsidRPr="001F3514" w:rsidR="004D2B4A" w:rsidP="00E839E7" w:rsidRDefault="004D2B4A" w14:paraId="3CB3A98C" w14:textId="1519527C">
      <w:pPr>
        <w:pStyle w:val="Prrafodelista"/>
        <w:numPr>
          <w:ilvl w:val="0"/>
          <w:numId w:val="10"/>
        </w:numPr>
        <w:jc w:val="both"/>
      </w:pPr>
      <w:r w:rsidRPr="001F3514">
        <w:t>Plan de trabajo</w:t>
      </w:r>
    </w:p>
    <w:p w:rsidRPr="001F3514" w:rsidR="004D2B4A" w:rsidP="00E839E7" w:rsidRDefault="004D2B4A" w14:paraId="16712E38" w14:textId="08726670">
      <w:pPr>
        <w:pStyle w:val="Prrafodelista"/>
        <w:numPr>
          <w:ilvl w:val="1"/>
          <w:numId w:val="10"/>
        </w:numPr>
        <w:jc w:val="both"/>
      </w:pPr>
      <w:r w:rsidRPr="001F3514">
        <w:t>Identificación y análisis de información disponible.</w:t>
      </w:r>
    </w:p>
    <w:p w:rsidRPr="001F3514" w:rsidR="004D2B4A" w:rsidP="00E839E7" w:rsidRDefault="004D2B4A" w14:paraId="4D5F6F63" w14:textId="2C2ECE3C">
      <w:pPr>
        <w:pStyle w:val="Prrafodelista"/>
        <w:numPr>
          <w:ilvl w:val="1"/>
          <w:numId w:val="10"/>
        </w:numPr>
        <w:jc w:val="both"/>
      </w:pPr>
      <w:r w:rsidRPr="001F3514">
        <w:t>Definición del cronograma y equipo de trabajo.</w:t>
      </w:r>
    </w:p>
    <w:p w:rsidRPr="001F3514" w:rsidR="004D2B4A" w:rsidP="00E839E7" w:rsidRDefault="004D2B4A" w14:paraId="516F9406" w14:textId="0AD12126">
      <w:pPr>
        <w:pStyle w:val="Prrafodelista"/>
        <w:numPr>
          <w:ilvl w:val="0"/>
          <w:numId w:val="10"/>
        </w:numPr>
        <w:jc w:val="both"/>
      </w:pPr>
      <w:r w:rsidRPr="001F3514">
        <w:t xml:space="preserve">Diagnóstico </w:t>
      </w:r>
    </w:p>
    <w:p w:rsidRPr="001F3514" w:rsidR="004D2B4A" w:rsidP="00E839E7" w:rsidRDefault="004D2B4A" w14:paraId="13F1632F" w14:textId="5A210286">
      <w:pPr>
        <w:pStyle w:val="Prrafodelista"/>
        <w:numPr>
          <w:ilvl w:val="1"/>
          <w:numId w:val="10"/>
        </w:numPr>
        <w:jc w:val="both"/>
      </w:pPr>
      <w:r w:rsidRPr="001F3514">
        <w:t>Conclusiones del análisis de información recopilada de las OSC.</w:t>
      </w:r>
    </w:p>
    <w:p w:rsidRPr="001F3514" w:rsidR="004D2B4A" w:rsidP="00E839E7" w:rsidRDefault="007C6BA1" w14:paraId="11A36256" w14:textId="77782DE1">
      <w:pPr>
        <w:pStyle w:val="Prrafodelista"/>
        <w:numPr>
          <w:ilvl w:val="1"/>
          <w:numId w:val="10"/>
        </w:numPr>
        <w:jc w:val="both"/>
      </w:pPr>
      <w:r w:rsidRPr="001F3514">
        <w:t>Propuesta</w:t>
      </w:r>
      <w:r w:rsidRPr="001F3514" w:rsidR="004D2B4A">
        <w:t xml:space="preserve"> metodo</w:t>
      </w:r>
      <w:r w:rsidRPr="001F3514" w:rsidR="008249F7">
        <w:t xml:space="preserve">lógica, con enfoque participativo </w:t>
      </w:r>
      <w:r w:rsidRPr="001F3514" w:rsidR="004D2B4A">
        <w:t>de trabajo.</w:t>
      </w:r>
    </w:p>
    <w:p w:rsidRPr="001F3514" w:rsidR="00FB6715" w:rsidP="00E839E7" w:rsidRDefault="00FB6715" w14:paraId="0E45D2FA" w14:textId="67DFA8A5">
      <w:pPr>
        <w:pStyle w:val="Prrafodelista"/>
        <w:numPr>
          <w:ilvl w:val="0"/>
          <w:numId w:val="10"/>
        </w:numPr>
        <w:jc w:val="both"/>
      </w:pPr>
      <w:r w:rsidRPr="001F3514">
        <w:t xml:space="preserve">Diseñar y proporcionar </w:t>
      </w:r>
      <w:r w:rsidRPr="001F3514" w:rsidR="009D72A8">
        <w:t>fortalecimiento</w:t>
      </w:r>
      <w:r w:rsidRPr="001F3514">
        <w:t xml:space="preserve"> a medida para las OSC en M&amp;E</w:t>
      </w:r>
      <w:r w:rsidRPr="001F3514" w:rsidR="009D72A8">
        <w:t>.</w:t>
      </w:r>
    </w:p>
    <w:p w:rsidRPr="001F3514" w:rsidR="00FB6715" w:rsidP="1BDE3215" w:rsidRDefault="00FB6715" w14:paraId="1F86FA23" w14:textId="3E37AE95">
      <w:pPr>
        <w:pStyle w:val="Prrafodelista"/>
        <w:numPr>
          <w:ilvl w:val="1"/>
          <w:numId w:val="10"/>
        </w:numPr>
        <w:jc w:val="both"/>
      </w:pPr>
      <w:r w:rsidRPr="001F3514">
        <w:t xml:space="preserve">Enfoque </w:t>
      </w:r>
      <w:r w:rsidRPr="001F3514" w:rsidR="3BAF5F09">
        <w:t>de</w:t>
      </w:r>
      <w:r w:rsidRPr="001F3514">
        <w:t xml:space="preserve"> conceptos clave</w:t>
      </w:r>
      <w:r w:rsidRPr="001F3514" w:rsidR="0041616A">
        <w:t xml:space="preserve">, </w:t>
      </w:r>
      <w:r w:rsidRPr="001F3514" w:rsidR="00307863">
        <w:t>teoría de cambio</w:t>
      </w:r>
      <w:r w:rsidRPr="001F3514" w:rsidR="0EF4ADE5">
        <w:t>, ruta de cambio</w:t>
      </w:r>
      <w:r w:rsidRPr="001F3514" w:rsidR="00307863">
        <w:t xml:space="preserve">, </w:t>
      </w:r>
      <w:r w:rsidRPr="001F3514" w:rsidR="0041616A">
        <w:t>Derechos Humanos y la Gestión para Resultados de Desarrollo</w:t>
      </w:r>
      <w:r w:rsidRPr="001F3514" w:rsidR="7A5E87CF">
        <w:t>,</w:t>
      </w:r>
      <w:r w:rsidRPr="001F3514" w:rsidR="362BF2F2">
        <w:t xml:space="preserve"> </w:t>
      </w:r>
      <w:r w:rsidRPr="001F3514" w:rsidR="7A5E87CF">
        <w:t>variables de cambio, indicadores, instrumentos, etc.</w:t>
      </w:r>
    </w:p>
    <w:p w:rsidRPr="001F3514" w:rsidR="0EF3A460" w:rsidP="1BDE3215" w:rsidRDefault="0EF3A460" w14:paraId="5D87FC25" w14:textId="520D0DEE">
      <w:pPr>
        <w:pStyle w:val="Prrafodelista"/>
        <w:numPr>
          <w:ilvl w:val="1"/>
          <w:numId w:val="10"/>
        </w:numPr>
        <w:jc w:val="both"/>
      </w:pPr>
      <w:r w:rsidRPr="001F3514">
        <w:t xml:space="preserve">Validar la Matriz de variables de cambio que medirá la ruta de cambio </w:t>
      </w:r>
      <w:r w:rsidRPr="001F3514" w:rsidR="102FE207">
        <w:t xml:space="preserve">diseñada por </w:t>
      </w:r>
      <w:r w:rsidRPr="001F3514">
        <w:t xml:space="preserve">la Alianza “Sumar </w:t>
      </w:r>
      <w:r w:rsidRPr="001F3514" w:rsidR="491B6D23">
        <w:t>para Transformar”</w:t>
      </w:r>
      <w:r w:rsidRPr="001F3514" w:rsidR="5D74F511">
        <w:t>.</w:t>
      </w:r>
    </w:p>
    <w:p w:rsidRPr="001F3514" w:rsidR="0A3B1AE1" w:rsidP="4E498D78" w:rsidRDefault="0A3B1AE1" w14:paraId="1653001C" w14:textId="4DF2EE7B">
      <w:pPr>
        <w:pStyle w:val="Prrafodelista"/>
        <w:numPr>
          <w:ilvl w:val="1"/>
          <w:numId w:val="10"/>
        </w:numPr>
        <w:jc w:val="both"/>
      </w:pPr>
      <w:r w:rsidRPr="001F3514">
        <w:t xml:space="preserve">Identificar las variables de cambio </w:t>
      </w:r>
      <w:r w:rsidRPr="001F3514" w:rsidR="00C16171">
        <w:t xml:space="preserve">y los </w:t>
      </w:r>
      <w:r w:rsidRPr="001F3514">
        <w:t>indicadores que se medirán trasversalmente para medir los derechos de los NNA</w:t>
      </w:r>
      <w:r w:rsidRPr="001F3514" w:rsidR="736966F9">
        <w:t>y J incluyendo enfoque de género.</w:t>
      </w:r>
      <w:r w:rsidRPr="001F3514">
        <w:t xml:space="preserve"> </w:t>
      </w:r>
    </w:p>
    <w:p w:rsidRPr="001F3514" w:rsidR="00A424B9" w:rsidP="00E839E7" w:rsidRDefault="6E88BA46" w14:paraId="27E0BEF6" w14:textId="318023BC">
      <w:pPr>
        <w:pStyle w:val="Prrafodelista"/>
        <w:numPr>
          <w:ilvl w:val="1"/>
          <w:numId w:val="10"/>
        </w:numPr>
        <w:jc w:val="both"/>
      </w:pPr>
      <w:r w:rsidRPr="001F3514">
        <w:t xml:space="preserve">Identificación de mejores prácticas en monitoreo y evaluación en Casas Hogar para compartir colaborativamente y replicarlas con las OSC. </w:t>
      </w:r>
    </w:p>
    <w:p w:rsidRPr="001F3514" w:rsidR="00A424B9" w:rsidP="00E839E7" w:rsidRDefault="57BECAAF" w14:paraId="7B544EEE" w14:textId="4879EF47">
      <w:pPr>
        <w:pStyle w:val="Prrafodelista"/>
        <w:numPr>
          <w:ilvl w:val="1"/>
          <w:numId w:val="10"/>
        </w:numPr>
        <w:jc w:val="both"/>
      </w:pPr>
      <w:r w:rsidRPr="001F3514">
        <w:t>Consensar con las OSC</w:t>
      </w:r>
      <w:r w:rsidRPr="001F3514" w:rsidR="54A51E0C">
        <w:t xml:space="preserve"> los</w:t>
      </w:r>
      <w:r w:rsidRPr="001F3514">
        <w:t xml:space="preserve"> indicadores colectivos </w:t>
      </w:r>
      <w:r w:rsidRPr="001F3514" w:rsidR="2CE5894A">
        <w:t>de corto, mediano y largo plazo</w:t>
      </w:r>
      <w:r w:rsidRPr="001F3514" w:rsidR="10A750C4">
        <w:t xml:space="preserve"> </w:t>
      </w:r>
      <w:r w:rsidRPr="001F3514" w:rsidR="2FC203FD">
        <w:t>con</w:t>
      </w:r>
      <w:r w:rsidRPr="001F3514" w:rsidR="79DBCF90">
        <w:t xml:space="preserve"> los que cuenta la alianza y est</w:t>
      </w:r>
      <w:r w:rsidRPr="001F3514" w:rsidR="4837F389">
        <w:t>é</w:t>
      </w:r>
      <w:r w:rsidRPr="001F3514">
        <w:t>n</w:t>
      </w:r>
      <w:r w:rsidRPr="001F3514" w:rsidR="4837F389">
        <w:t xml:space="preserve"> en</w:t>
      </w:r>
      <w:r w:rsidRPr="001F3514">
        <w:t xml:space="preserve"> congruencia con las líneas estratégicas de “Sumar para Transformar”.</w:t>
      </w:r>
    </w:p>
    <w:p w:rsidRPr="001F3514" w:rsidR="00A424B9" w:rsidP="00E839E7" w:rsidRDefault="006F41EC" w14:paraId="0B965A7B" w14:textId="40035058">
      <w:pPr>
        <w:pStyle w:val="Prrafodelista"/>
        <w:numPr>
          <w:ilvl w:val="0"/>
          <w:numId w:val="10"/>
        </w:numPr>
        <w:jc w:val="both"/>
      </w:pPr>
      <w:r w:rsidRPr="001F3514">
        <w:t>Rendición de cuentas</w:t>
      </w:r>
    </w:p>
    <w:p w:rsidRPr="001F3514" w:rsidR="32CE69F1" w:rsidP="092BC13D" w:rsidRDefault="32CE69F1" w14:paraId="37018544" w14:textId="1D0CD9E4">
      <w:pPr>
        <w:pStyle w:val="Prrafodelista"/>
        <w:numPr>
          <w:ilvl w:val="1"/>
          <w:numId w:val="10"/>
        </w:numPr>
        <w:jc w:val="both"/>
      </w:pPr>
      <w:r w:rsidRPr="001F3514">
        <w:t>Apoyo a las OSC participantes en la implementación de un sistema de monitoreo y evaluación, incluyendo la recolección, análisis e interpretación de datos y la elaboración de informes</w:t>
      </w:r>
    </w:p>
    <w:p w:rsidRPr="001F3514" w:rsidR="32CE69F1" w:rsidP="092BC13D" w:rsidRDefault="32CE69F1" w14:paraId="084067AE" w14:textId="096B35D8">
      <w:pPr>
        <w:pStyle w:val="Prrafodelista"/>
        <w:numPr>
          <w:ilvl w:val="1"/>
          <w:numId w:val="10"/>
        </w:numPr>
        <w:jc w:val="both"/>
      </w:pPr>
      <w:r w:rsidRPr="001F3514">
        <w:t xml:space="preserve">Ejercicios para la aplicación de herramientas e instrumento de M&amp;E </w:t>
      </w:r>
    </w:p>
    <w:p w:rsidRPr="001F3514" w:rsidR="3F386778" w:rsidP="3F386778" w:rsidRDefault="00FB6715" w14:paraId="03D2154A" w14:textId="566F6C5C">
      <w:pPr>
        <w:pStyle w:val="Prrafodelista"/>
        <w:numPr>
          <w:ilvl w:val="1"/>
          <w:numId w:val="10"/>
        </w:numPr>
        <w:jc w:val="both"/>
      </w:pPr>
      <w:r w:rsidRPr="001F3514">
        <w:t>Proporcionar orientación y apoyo en las OSC en la interpretación de datos</w:t>
      </w:r>
      <w:r w:rsidRPr="001F3514" w:rsidR="00D50490">
        <w:t xml:space="preserve"> y la elaboración de informes.</w:t>
      </w:r>
      <w:r w:rsidRPr="001F3514" w:rsidR="64BB40A8">
        <w:t xml:space="preserve"> </w:t>
      </w:r>
    </w:p>
    <w:p w:rsidRPr="001F3514" w:rsidR="00E839E7" w:rsidP="00E839E7" w:rsidRDefault="00E839E7" w14:paraId="32502E38" w14:textId="4576E133">
      <w:pPr>
        <w:pStyle w:val="Ttulo1"/>
      </w:pPr>
      <w:r w:rsidRPr="001F3514">
        <w:t xml:space="preserve">Perfil del consultor </w:t>
      </w:r>
    </w:p>
    <w:p w:rsidRPr="001F3514" w:rsidR="00E839E7" w:rsidP="00E839E7" w:rsidRDefault="00E839E7" w14:paraId="7CAA47F3" w14:textId="5E4F3E0B">
      <w:r w:rsidRPr="001F3514">
        <w:t>Será indispensable que el proveedor del servicio de consultoría cuente con las siguientes características:</w:t>
      </w:r>
    </w:p>
    <w:p w:rsidRPr="001F3514" w:rsidR="00E839E7" w:rsidP="00E839E7" w:rsidRDefault="00E839E7" w14:paraId="210C15CC" w14:textId="58A8306C">
      <w:pPr>
        <w:pStyle w:val="Prrafodelista"/>
        <w:numPr>
          <w:ilvl w:val="0"/>
          <w:numId w:val="11"/>
        </w:numPr>
      </w:pPr>
      <w:r w:rsidRPr="001F3514">
        <w:t xml:space="preserve">Conocimiento y experiencia </w:t>
      </w:r>
      <w:r w:rsidRPr="001F3514" w:rsidR="6A1EDC9E">
        <w:t>mínim</w:t>
      </w:r>
      <w:r w:rsidRPr="001F3514" w:rsidR="7D963F6D">
        <w:t xml:space="preserve">o </w:t>
      </w:r>
      <w:r w:rsidRPr="001F3514">
        <w:t>de 3 años en fortalecimiento de OSC.</w:t>
      </w:r>
    </w:p>
    <w:p w:rsidRPr="001F3514" w:rsidR="00E839E7" w:rsidP="00E839E7" w:rsidRDefault="00E839E7" w14:paraId="6A9F9284" w14:textId="6F1C9BBA">
      <w:pPr>
        <w:pStyle w:val="Prrafodelista"/>
        <w:numPr>
          <w:ilvl w:val="0"/>
          <w:numId w:val="11"/>
        </w:numPr>
      </w:pPr>
      <w:r w:rsidRPr="001F3514">
        <w:t>Conformar un equipo multidisciplinario</w:t>
      </w:r>
      <w:r w:rsidRPr="001F3514" w:rsidR="1F3452B0">
        <w:t xml:space="preserve"> para sistemas de monitoreo y evaluación </w:t>
      </w:r>
      <w:r w:rsidRPr="001F3514">
        <w:t xml:space="preserve"> </w:t>
      </w:r>
    </w:p>
    <w:p w:rsidRPr="001F3514" w:rsidR="0B057C11" w:rsidP="092BC13D" w:rsidRDefault="0B057C11" w14:paraId="1F798757" w14:textId="50480E3A">
      <w:pPr>
        <w:pStyle w:val="Prrafodelista"/>
        <w:numPr>
          <w:ilvl w:val="0"/>
          <w:numId w:val="11"/>
        </w:numPr>
        <w:rPr>
          <w:rFonts w:ascii="Calibri" w:hAnsi="Calibri" w:eastAsia="Calibri" w:cs="Calibri"/>
          <w:color w:val="000000" w:themeColor="text1"/>
          <w:lang w:val="es-ES"/>
        </w:rPr>
      </w:pPr>
      <w:r w:rsidRPr="001F3514">
        <w:rPr>
          <w:rFonts w:ascii="Calibri" w:hAnsi="Calibri" w:eastAsia="Calibri" w:cs="Calibri"/>
          <w:color w:val="000000" w:themeColor="text1"/>
        </w:rPr>
        <w:t>Experiencia en la facilitación de procesos colaborativos</w:t>
      </w:r>
    </w:p>
    <w:p w:rsidRPr="001F3514" w:rsidR="0B057C11" w:rsidP="092BC13D" w:rsidRDefault="0B057C11" w14:paraId="38D40F0A" w14:textId="51BA11F2">
      <w:pPr>
        <w:pStyle w:val="Prrafodelista"/>
        <w:numPr>
          <w:ilvl w:val="0"/>
          <w:numId w:val="11"/>
        </w:numPr>
        <w:rPr>
          <w:rFonts w:ascii="Calibri" w:hAnsi="Calibri" w:eastAsia="Calibri" w:cs="Calibri"/>
          <w:color w:val="000000" w:themeColor="text1"/>
          <w:lang w:val="es-ES"/>
        </w:rPr>
      </w:pPr>
      <w:r w:rsidRPr="001F3514">
        <w:rPr>
          <w:rFonts w:ascii="Calibri" w:hAnsi="Calibri" w:eastAsia="Calibri" w:cs="Calibri"/>
          <w:color w:val="000000" w:themeColor="text1"/>
        </w:rPr>
        <w:t>Capacidad operativa para dar cumplimiento a los objetivos en el tiempo estipulado.</w:t>
      </w:r>
    </w:p>
    <w:p w:rsidRPr="001F3514" w:rsidR="092BC13D" w:rsidP="002F0058" w:rsidRDefault="092BC13D" w14:paraId="6CA6E2F4" w14:textId="68FA6617">
      <w:pPr>
        <w:pStyle w:val="Prrafodelista"/>
      </w:pPr>
    </w:p>
    <w:p w:rsidRPr="001F3514" w:rsidR="00E839E7" w:rsidP="00E839E7" w:rsidRDefault="00E839E7" w14:paraId="15382EFE" w14:textId="6C8179EF">
      <w:pPr>
        <w:pStyle w:val="Ttulo1"/>
      </w:pPr>
      <w:r w:rsidRPr="001F3514">
        <w:t>Productos y plazos de entrega</w:t>
      </w:r>
    </w:p>
    <w:tbl>
      <w:tblPr>
        <w:tblStyle w:val="Tablaconcuadrcula1"/>
        <w:tblW w:w="8932" w:type="dxa"/>
        <w:tblInd w:w="0" w:type="dxa"/>
        <w:tblCellMar>
          <w:top w:w="44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4964"/>
        <w:gridCol w:w="3968"/>
      </w:tblGrid>
      <w:tr w:rsidRPr="001F3514" w:rsidR="00E839E7" w:rsidTr="092BC13D" w14:paraId="247A00E2" w14:textId="77777777">
        <w:trPr>
          <w:trHeight w:val="360"/>
        </w:trPr>
        <w:tc>
          <w:tcPr>
            <w:tcW w:w="893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F3514" w:rsidR="00E839E7" w:rsidRDefault="00E839E7" w14:paraId="1F37385D" w14:textId="7F2AFC55">
            <w:pPr>
              <w:spacing w:line="0" w:lineRule="atLeast"/>
              <w:ind w:right="44"/>
              <w:jc w:val="both"/>
              <w:rPr>
                <w:rFonts w:cstheme="minorHAnsi"/>
              </w:rPr>
            </w:pPr>
            <w:r w:rsidRPr="001F3514">
              <w:rPr>
                <w:rFonts w:cstheme="minorHAnsi"/>
                <w:b/>
              </w:rPr>
              <w:t xml:space="preserve">Fecha tentativa de arranque: </w:t>
            </w:r>
            <w:r w:rsidRPr="001F3514" w:rsidR="001B2E44">
              <w:rPr>
                <w:rFonts w:cstheme="minorHAnsi"/>
                <w:b/>
              </w:rPr>
              <w:t>16 de junio de 2023</w:t>
            </w:r>
          </w:p>
        </w:tc>
      </w:tr>
      <w:tr w:rsidRPr="001F3514" w:rsidR="00E839E7" w:rsidTr="092BC13D" w14:paraId="0C6FFB1F" w14:textId="77777777">
        <w:trPr>
          <w:trHeight w:val="358"/>
        </w:trPr>
        <w:tc>
          <w:tcPr>
            <w:tcW w:w="4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F3514" w:rsidR="00E839E7" w:rsidRDefault="00E839E7" w14:paraId="7780A14F" w14:textId="77777777">
            <w:pPr>
              <w:spacing w:line="0" w:lineRule="atLeast"/>
              <w:ind w:right="41"/>
              <w:jc w:val="both"/>
              <w:rPr>
                <w:rFonts w:cstheme="minorHAnsi"/>
              </w:rPr>
            </w:pPr>
            <w:r w:rsidRPr="001F3514">
              <w:rPr>
                <w:rFonts w:cstheme="minorHAnsi"/>
                <w:b/>
              </w:rPr>
              <w:t xml:space="preserve">Producto </w:t>
            </w:r>
          </w:p>
        </w:tc>
        <w:tc>
          <w:tcPr>
            <w:tcW w:w="3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F3514" w:rsidR="00E839E7" w:rsidRDefault="00E839E7" w14:paraId="1CB95148" w14:textId="77777777">
            <w:pPr>
              <w:spacing w:line="0" w:lineRule="atLeast"/>
              <w:ind w:right="47"/>
              <w:jc w:val="both"/>
              <w:rPr>
                <w:rFonts w:cstheme="minorHAnsi"/>
              </w:rPr>
            </w:pPr>
            <w:r w:rsidRPr="001F3514">
              <w:rPr>
                <w:rFonts w:cstheme="minorHAnsi"/>
                <w:b/>
              </w:rPr>
              <w:t xml:space="preserve">Fecha </w:t>
            </w:r>
          </w:p>
        </w:tc>
      </w:tr>
      <w:tr w:rsidRPr="001F3514" w:rsidR="00E839E7" w:rsidTr="092BC13D" w14:paraId="54C64D5F" w14:textId="77777777">
        <w:trPr>
          <w:trHeight w:val="372"/>
        </w:trPr>
        <w:tc>
          <w:tcPr>
            <w:tcW w:w="4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1F3514" w:rsidR="00E839E7" w:rsidP="092BC13D" w:rsidRDefault="00E839E7" w14:paraId="3F017E12" w14:textId="2D79AD58">
            <w:pPr>
              <w:spacing w:line="0" w:lineRule="atLeast"/>
              <w:jc w:val="both"/>
            </w:pPr>
            <w:r w:rsidRPr="001F3514">
              <w:lastRenderedPageBreak/>
              <w:t xml:space="preserve">1. </w:t>
            </w:r>
            <w:r w:rsidRPr="001F3514" w:rsidR="04DF2293">
              <w:t>Plan de trabajo</w:t>
            </w:r>
            <w:r w:rsidRPr="001F3514">
              <w:t xml:space="preserve">, </w:t>
            </w:r>
            <w:r w:rsidRPr="001F3514" w:rsidR="07871F16">
              <w:t xml:space="preserve">definiendo </w:t>
            </w:r>
            <w:r w:rsidRPr="001F3514">
              <w:t>etapas y alcance de la consultoría</w:t>
            </w:r>
          </w:p>
        </w:tc>
        <w:tc>
          <w:tcPr>
            <w:tcW w:w="3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1F3514" w:rsidR="00E839E7" w:rsidRDefault="00CC29A9" w14:paraId="374E6004" w14:textId="2F1F48EF">
            <w:pPr>
              <w:spacing w:line="0" w:lineRule="atLeast"/>
              <w:jc w:val="both"/>
              <w:rPr>
                <w:rFonts w:cstheme="minorHAnsi"/>
              </w:rPr>
            </w:pPr>
            <w:r w:rsidRPr="001F3514">
              <w:rPr>
                <w:rFonts w:cstheme="minorHAnsi"/>
              </w:rPr>
              <w:t xml:space="preserve">30 </w:t>
            </w:r>
            <w:r w:rsidRPr="001F3514" w:rsidR="008A1297">
              <w:rPr>
                <w:rFonts w:cstheme="minorHAnsi"/>
              </w:rPr>
              <w:t>de junio del 2023</w:t>
            </w:r>
          </w:p>
        </w:tc>
      </w:tr>
      <w:tr w:rsidRPr="001F3514" w:rsidR="00E839E7" w:rsidTr="092BC13D" w14:paraId="1563B40D" w14:textId="77777777">
        <w:trPr>
          <w:trHeight w:val="372"/>
        </w:trPr>
        <w:tc>
          <w:tcPr>
            <w:tcW w:w="4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1F3514" w:rsidR="00E839E7" w:rsidP="092BC13D" w:rsidRDefault="00E839E7" w14:paraId="56932022" w14:textId="51C3BD6E">
            <w:pPr>
              <w:spacing w:line="0" w:lineRule="atLeast"/>
              <w:ind w:firstLine="2"/>
              <w:jc w:val="both"/>
              <w:rPr>
                <w:rFonts w:eastAsia="Arial"/>
              </w:rPr>
            </w:pPr>
            <w:r w:rsidRPr="001F3514">
              <w:t>2.</w:t>
            </w:r>
            <w:r w:rsidRPr="001F3514">
              <w:rPr>
                <w:rFonts w:eastAsia="Arial"/>
              </w:rPr>
              <w:t xml:space="preserve"> </w:t>
            </w:r>
            <w:r w:rsidRPr="001F3514" w:rsidR="75738518">
              <w:rPr>
                <w:rFonts w:eastAsia="Arial"/>
              </w:rPr>
              <w:t>Evaluación diagnóstica de las OSC y participantes</w:t>
            </w:r>
            <w:r w:rsidRPr="001F3514" w:rsidR="4EE3936F">
              <w:rPr>
                <w:rFonts w:eastAsia="Arial"/>
              </w:rPr>
              <w:t xml:space="preserve"> y actividades a realizar</w:t>
            </w:r>
            <w:r w:rsidRPr="001F3514">
              <w:rPr>
                <w:rFonts w:eastAsia="Arial"/>
              </w:rPr>
              <w:t>.</w:t>
            </w:r>
          </w:p>
        </w:tc>
        <w:tc>
          <w:tcPr>
            <w:tcW w:w="3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1F3514" w:rsidR="00E839E7" w:rsidP="092BC13D" w:rsidRDefault="008A1297" w14:paraId="6544A465" w14:textId="017A7B75">
            <w:pPr>
              <w:spacing w:line="0" w:lineRule="atLeast"/>
              <w:jc w:val="both"/>
            </w:pPr>
            <w:r w:rsidRPr="001F3514">
              <w:t>1</w:t>
            </w:r>
            <w:r w:rsidRPr="001F3514" w:rsidR="00463F74">
              <w:t>4 de julio de 2023</w:t>
            </w:r>
            <w:r w:rsidRPr="001F3514">
              <w:t xml:space="preserve"> </w:t>
            </w:r>
          </w:p>
        </w:tc>
      </w:tr>
      <w:tr w:rsidRPr="001F3514" w:rsidR="00E839E7" w:rsidTr="092BC13D" w14:paraId="256DCE5F" w14:textId="77777777">
        <w:trPr>
          <w:trHeight w:val="372"/>
        </w:trPr>
        <w:tc>
          <w:tcPr>
            <w:tcW w:w="4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1F3514" w:rsidR="00E839E7" w:rsidP="092BC13D" w:rsidRDefault="00E839E7" w14:paraId="2CFF05C7" w14:textId="56B4BD54">
            <w:pPr>
              <w:spacing w:line="0" w:lineRule="atLeast"/>
              <w:jc w:val="both"/>
            </w:pPr>
            <w:r w:rsidRPr="001F3514">
              <w:t>3.</w:t>
            </w:r>
            <w:r w:rsidRPr="001F3514" w:rsidR="002F1100">
              <w:t xml:space="preserve"> </w:t>
            </w:r>
            <w:r w:rsidRPr="001F3514" w:rsidR="72BD4F7B">
              <w:t xml:space="preserve">Presentación y ejecución de </w:t>
            </w:r>
            <w:r w:rsidRPr="001F3514" w:rsidR="64BF531E">
              <w:t>f</w:t>
            </w:r>
            <w:r w:rsidRPr="001F3514" w:rsidR="72BD4F7B">
              <w:t xml:space="preserve">ortalecimiento </w:t>
            </w:r>
            <w:r w:rsidRPr="001F3514" w:rsidR="6AA1B760">
              <w:t xml:space="preserve">de conceptos, </w:t>
            </w:r>
            <w:r w:rsidRPr="001F3514" w:rsidR="7E788C2E">
              <w:t>para las OSC participantes, que incluya materiales didácticos</w:t>
            </w:r>
            <w:r w:rsidRPr="001F3514" w:rsidR="1CFDA1EC">
              <w:t xml:space="preserve">, </w:t>
            </w:r>
            <w:r w:rsidRPr="001F3514" w:rsidR="7E788C2E">
              <w:t>materiales de aprendizaje</w:t>
            </w:r>
            <w:r w:rsidRPr="001F3514" w:rsidR="3A448B60">
              <w:t xml:space="preserve"> y bibliografía</w:t>
            </w:r>
            <w:r w:rsidRPr="001F3514" w:rsidR="7E788C2E">
              <w:t>.</w:t>
            </w:r>
          </w:p>
        </w:tc>
        <w:tc>
          <w:tcPr>
            <w:tcW w:w="3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1F3514" w:rsidR="00E839E7" w:rsidP="092BC13D" w:rsidRDefault="004E212C" w14:paraId="7F6B8FC1" w14:textId="391FCA1C">
            <w:pPr>
              <w:spacing w:line="0" w:lineRule="atLeast"/>
              <w:jc w:val="both"/>
            </w:pPr>
            <w:r w:rsidRPr="001F3514">
              <w:t>11 de agosto del 2023</w:t>
            </w:r>
          </w:p>
          <w:p w:rsidRPr="001F3514" w:rsidR="00E839E7" w:rsidP="092BC13D" w:rsidRDefault="00E839E7" w14:paraId="256F5452" w14:textId="208B5D1E">
            <w:pPr>
              <w:spacing w:line="0" w:lineRule="atLeast"/>
              <w:jc w:val="both"/>
            </w:pPr>
          </w:p>
          <w:p w:rsidRPr="001F3514" w:rsidR="00E839E7" w:rsidP="092BC13D" w:rsidRDefault="00E839E7" w14:paraId="6E6F1623" w14:textId="125F313D">
            <w:pPr>
              <w:spacing w:line="0" w:lineRule="atLeast"/>
              <w:jc w:val="both"/>
            </w:pPr>
          </w:p>
          <w:p w:rsidRPr="001F3514" w:rsidR="00E839E7" w:rsidP="092BC13D" w:rsidRDefault="00E839E7" w14:paraId="4E8D7FD4" w14:textId="3BBA18CC">
            <w:pPr>
              <w:spacing w:line="0" w:lineRule="atLeast"/>
              <w:jc w:val="both"/>
            </w:pPr>
          </w:p>
        </w:tc>
      </w:tr>
      <w:tr w:rsidRPr="001F3514" w:rsidR="00E839E7" w:rsidTr="092BC13D" w14:paraId="2595D59C" w14:textId="77777777">
        <w:trPr>
          <w:trHeight w:val="372"/>
        </w:trPr>
        <w:tc>
          <w:tcPr>
            <w:tcW w:w="4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1F3514" w:rsidR="00E839E7" w:rsidP="002F1100" w:rsidRDefault="002F1100" w14:paraId="5BBB399D" w14:textId="00E8C92D">
            <w:pPr>
              <w:spacing w:line="0" w:lineRule="atLeast"/>
              <w:jc w:val="both"/>
            </w:pPr>
            <w:r w:rsidRPr="001F3514">
              <w:t xml:space="preserve">4. </w:t>
            </w:r>
            <w:r w:rsidRPr="001F3514" w:rsidR="424EE1D9">
              <w:t xml:space="preserve">Consenso de la Matriz de variables de cambio </w:t>
            </w:r>
            <w:r w:rsidRPr="001F3514" w:rsidR="29386378">
              <w:t>e indicadores que adoptar</w:t>
            </w:r>
            <w:r w:rsidRPr="001F3514" w:rsidR="61FAE467">
              <w:t>á</w:t>
            </w:r>
            <w:r w:rsidRPr="001F3514" w:rsidR="29386378">
              <w:t>n las OSC</w:t>
            </w:r>
            <w:r w:rsidRPr="001F3514" w:rsidR="424EE1D9">
              <w:t xml:space="preserve"> </w:t>
            </w:r>
            <w:r w:rsidRPr="001F3514" w:rsidR="0EF16C75">
              <w:t>para medir l</w:t>
            </w:r>
            <w:r w:rsidRPr="001F3514" w:rsidR="2894CA80">
              <w:t>os resultados de las</w:t>
            </w:r>
            <w:r w:rsidRPr="001F3514" w:rsidR="0EF16C75">
              <w:t xml:space="preserve"> líneas estratégicas </w:t>
            </w:r>
          </w:p>
        </w:tc>
        <w:tc>
          <w:tcPr>
            <w:tcW w:w="3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1F3514" w:rsidR="00E839E7" w:rsidRDefault="004D735E" w14:paraId="389E2247" w14:textId="197CEA20">
            <w:pPr>
              <w:spacing w:line="0" w:lineRule="atLeast"/>
              <w:jc w:val="both"/>
            </w:pPr>
            <w:r w:rsidRPr="001F3514">
              <w:t xml:space="preserve">Del 14 de agosto al 15 de septiembre del 2023 </w:t>
            </w:r>
          </w:p>
        </w:tc>
      </w:tr>
      <w:tr w:rsidRPr="001F3514" w:rsidR="092BC13D" w:rsidTr="092BC13D" w14:paraId="6F2D3E49" w14:textId="77777777">
        <w:trPr>
          <w:trHeight w:val="372"/>
        </w:trPr>
        <w:tc>
          <w:tcPr>
            <w:tcW w:w="4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1F3514" w:rsidR="092BC13D" w:rsidP="092BC13D" w:rsidRDefault="092BC13D" w14:paraId="72B3BB5A" w14:textId="43FAFE42">
            <w:pPr>
              <w:spacing w:line="0" w:lineRule="atLeast"/>
              <w:jc w:val="both"/>
            </w:pPr>
            <w:r w:rsidRPr="001F3514">
              <w:t xml:space="preserve">5. </w:t>
            </w:r>
            <w:r w:rsidRPr="001F3514" w:rsidR="775271F4">
              <w:t xml:space="preserve">Sistema de Monitoreo y evaluación para recopilar la información de corto mediano y largo plazo </w:t>
            </w:r>
          </w:p>
        </w:tc>
        <w:tc>
          <w:tcPr>
            <w:tcW w:w="3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1F3514" w:rsidR="7E2F0160" w:rsidP="092BC13D" w:rsidRDefault="000A1DE0" w14:paraId="41686E5E" w14:textId="682E9AE0">
            <w:pPr>
              <w:spacing w:line="0" w:lineRule="atLeast"/>
              <w:jc w:val="both"/>
            </w:pPr>
            <w:r w:rsidRPr="001F3514">
              <w:t>Del 18 de septiembre al 20 de octubre del 2023</w:t>
            </w:r>
          </w:p>
        </w:tc>
      </w:tr>
      <w:tr w:rsidRPr="001F3514" w:rsidR="092BC13D" w:rsidTr="092BC13D" w14:paraId="622120D6" w14:textId="77777777">
        <w:trPr>
          <w:trHeight w:val="372"/>
        </w:trPr>
        <w:tc>
          <w:tcPr>
            <w:tcW w:w="4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1F3514" w:rsidR="092BC13D" w:rsidP="092BC13D" w:rsidRDefault="092BC13D" w14:paraId="3F41E6C0" w14:textId="6EE68F53">
            <w:pPr>
              <w:spacing w:line="0" w:lineRule="atLeast"/>
              <w:jc w:val="both"/>
            </w:pPr>
            <w:r w:rsidRPr="001F3514">
              <w:t xml:space="preserve">6. </w:t>
            </w:r>
            <w:r w:rsidRPr="001F3514" w:rsidR="42B64AD4">
              <w:t>Materiales para fortalecer las capacidades para recolección de información (diseño de m</w:t>
            </w:r>
            <w:r w:rsidRPr="001F3514" w:rsidR="793F97EA">
              <w:t>é</w:t>
            </w:r>
            <w:r w:rsidRPr="001F3514" w:rsidR="42B64AD4">
              <w:t xml:space="preserve">todos de recolección o compartir </w:t>
            </w:r>
            <w:r w:rsidRPr="001F3514" w:rsidR="006104DC">
              <w:t xml:space="preserve">buenas prácticas de instrumentos de recolección </w:t>
            </w:r>
            <w:r w:rsidRPr="001F3514" w:rsidR="685341B1">
              <w:t>identificados en las OSC</w:t>
            </w:r>
            <w:r w:rsidRPr="001F3514" w:rsidR="696949F3">
              <w:t>)</w:t>
            </w:r>
            <w:r w:rsidRPr="001F3514" w:rsidR="7B02D2BB">
              <w:t xml:space="preserve"> </w:t>
            </w:r>
          </w:p>
        </w:tc>
        <w:tc>
          <w:tcPr>
            <w:tcW w:w="3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1F3514" w:rsidR="008212BE" w:rsidP="092BC13D" w:rsidRDefault="008212BE" w14:paraId="3647544B" w14:textId="6C9E91DB">
            <w:pPr>
              <w:spacing w:line="0" w:lineRule="atLeast"/>
              <w:jc w:val="both"/>
            </w:pPr>
            <w:r w:rsidRPr="001F3514">
              <w:t>Del 23 de octubre al 24 de noviembre de 2023</w:t>
            </w:r>
          </w:p>
        </w:tc>
      </w:tr>
      <w:tr w:rsidRPr="001F3514" w:rsidR="092BC13D" w:rsidTr="092BC13D" w14:paraId="5DD799B7" w14:textId="77777777">
        <w:trPr>
          <w:trHeight w:val="817"/>
        </w:trPr>
        <w:tc>
          <w:tcPr>
            <w:tcW w:w="4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1F3514" w:rsidR="092BC13D" w:rsidP="092BC13D" w:rsidRDefault="092BC13D" w14:paraId="015466CF" w14:textId="4CD88FDD">
            <w:pPr>
              <w:spacing w:line="0" w:lineRule="atLeast"/>
              <w:jc w:val="both"/>
            </w:pPr>
            <w:r w:rsidRPr="001F3514">
              <w:t>5. Informe final que describa los resultados del fortalecimiento, incluyendo el análisis de necesidades, plan de capacitación, los planes de M&amp;E, implementación del M&amp;E, lecciones aprendidas y buenas prácticas que puedan ser compartidas con otras OSC y actores clave.</w:t>
            </w:r>
          </w:p>
        </w:tc>
        <w:tc>
          <w:tcPr>
            <w:tcW w:w="3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1F3514" w:rsidR="20A58326" w:rsidP="092BC13D" w:rsidRDefault="00E767BA" w14:paraId="47960CB7" w14:textId="4FA6F911">
            <w:pPr>
              <w:spacing w:line="0" w:lineRule="atLeast"/>
              <w:jc w:val="both"/>
            </w:pPr>
            <w:r w:rsidRPr="001F3514">
              <w:t>Límite al</w:t>
            </w:r>
            <w:r w:rsidRPr="001F3514" w:rsidR="002D5273">
              <w:t xml:space="preserve"> 15 de diciembre del 2023</w:t>
            </w:r>
          </w:p>
        </w:tc>
      </w:tr>
    </w:tbl>
    <w:p w:rsidRPr="001F3514" w:rsidR="092BC13D" w:rsidRDefault="092BC13D" w14:paraId="0A67AD81" w14:textId="3C127320"/>
    <w:p w:rsidRPr="001F3514" w:rsidR="00E839E7" w:rsidP="00E8228B" w:rsidRDefault="00E8228B" w14:paraId="3E2FC2E1" w14:textId="1FF83460">
      <w:pPr>
        <w:jc w:val="both"/>
      </w:pPr>
      <w:r w:rsidRPr="001F3514">
        <w:t>El proveedor tendrá que cumplir, como mínimo, con los puntos solicitados. Sin embargo, además de los criterios establecidos en los presentes Términos de Referencia, el proveedor podrá, conforme a su experiencia, ampliar o aportar elementos adicionales que fortalezcan la consultoría.</w:t>
      </w:r>
    </w:p>
    <w:p w:rsidRPr="001F3514" w:rsidR="00E8228B" w:rsidP="00E8228B" w:rsidRDefault="00E8228B" w14:paraId="0FFE0FEF" w14:textId="60D7AA71">
      <w:pPr>
        <w:pStyle w:val="Ttulo1"/>
      </w:pPr>
      <w:r w:rsidRPr="001F3514">
        <w:t xml:space="preserve">Procesos de postulación </w:t>
      </w:r>
    </w:p>
    <w:p w:rsidRPr="001F3514" w:rsidR="00E8228B" w:rsidP="00E8228B" w:rsidRDefault="00E8228B" w14:paraId="3382A6BA" w14:textId="33F3355A">
      <w:pPr>
        <w:spacing w:line="0" w:lineRule="atLeast"/>
        <w:jc w:val="both"/>
        <w:rPr>
          <w:rFonts w:cstheme="minorHAnsi"/>
        </w:rPr>
      </w:pPr>
      <w:r w:rsidRPr="001F3514">
        <w:rPr>
          <w:rFonts w:cstheme="minorHAnsi"/>
        </w:rPr>
        <w:t xml:space="preserve">Previo al envío de la propuesta, los consultores podrán participar en una sesión informativa en la que se aclarará el alcance del servicio y los productos esperados, y deberán enviar un correo electrónico a </w:t>
      </w:r>
      <w:r w:rsidRPr="001F3514" w:rsidR="00244767">
        <w:rPr>
          <w:rFonts w:cstheme="minorHAnsi"/>
        </w:rPr>
        <w:t>dis@dibujando.org.mx manifestando su interés en participar antes del 28 de abril de 2023.</w:t>
      </w:r>
    </w:p>
    <w:p w:rsidRPr="001F3514" w:rsidR="00E8228B" w:rsidP="00E8228B" w:rsidRDefault="00E8228B" w14:paraId="3642FCD8" w14:textId="77777777">
      <w:pPr>
        <w:spacing w:after="0" w:line="0" w:lineRule="atLeast"/>
        <w:jc w:val="both"/>
        <w:rPr>
          <w:rFonts w:cstheme="minorHAnsi"/>
        </w:rPr>
      </w:pPr>
      <w:r w:rsidRPr="001F3514">
        <w:rPr>
          <w:rFonts w:cstheme="minorHAnsi"/>
        </w:rPr>
        <w:t>Para mostrar su intención de participar, los consultores interesados deberán presentar una propuesta con, mínimo, los siguientes elementos:</w:t>
      </w:r>
    </w:p>
    <w:p w:rsidRPr="001F3514" w:rsidR="00E8228B" w:rsidP="00E8228B" w:rsidRDefault="00E8228B" w14:paraId="42EACB0D" w14:textId="77777777">
      <w:pPr>
        <w:pStyle w:val="Prrafodelista"/>
        <w:numPr>
          <w:ilvl w:val="0"/>
          <w:numId w:val="12"/>
        </w:numPr>
        <w:spacing w:after="0" w:line="0" w:lineRule="atLeast"/>
        <w:jc w:val="both"/>
        <w:rPr>
          <w:rFonts w:cstheme="minorHAnsi"/>
        </w:rPr>
      </w:pPr>
      <w:r w:rsidRPr="001F3514">
        <w:rPr>
          <w:rFonts w:cstheme="minorHAnsi"/>
        </w:rPr>
        <w:t>Descripción de la metodología y técnicas a emplear</w:t>
      </w:r>
    </w:p>
    <w:p w:rsidRPr="001F3514" w:rsidR="00E8228B" w:rsidP="00E8228B" w:rsidRDefault="00E8228B" w14:paraId="447C90BB" w14:textId="77777777">
      <w:pPr>
        <w:pStyle w:val="Prrafodelista"/>
        <w:numPr>
          <w:ilvl w:val="0"/>
          <w:numId w:val="12"/>
        </w:numPr>
        <w:spacing w:after="0" w:line="0" w:lineRule="atLeast"/>
        <w:jc w:val="both"/>
        <w:rPr>
          <w:rFonts w:cstheme="minorHAnsi"/>
        </w:rPr>
      </w:pPr>
      <w:r w:rsidRPr="001F3514">
        <w:rPr>
          <w:rFonts w:cstheme="minorHAnsi"/>
        </w:rPr>
        <w:t>Requerimientos mínimos de insumos para el servicio</w:t>
      </w:r>
    </w:p>
    <w:p w:rsidRPr="001F3514" w:rsidR="00E8228B" w:rsidP="00E8228B" w:rsidRDefault="00E8228B" w14:paraId="79C93C0F" w14:textId="77777777">
      <w:pPr>
        <w:pStyle w:val="Prrafodelista"/>
        <w:numPr>
          <w:ilvl w:val="0"/>
          <w:numId w:val="12"/>
        </w:numPr>
        <w:spacing w:after="0" w:line="0" w:lineRule="atLeast"/>
        <w:jc w:val="both"/>
        <w:rPr>
          <w:rFonts w:cstheme="minorHAnsi"/>
        </w:rPr>
      </w:pPr>
      <w:r w:rsidRPr="001F3514">
        <w:rPr>
          <w:rFonts w:cstheme="minorHAnsi"/>
        </w:rPr>
        <w:t>Elementos conceptuales básicos</w:t>
      </w:r>
    </w:p>
    <w:p w:rsidRPr="001F3514" w:rsidR="00E8228B" w:rsidP="00E8228B" w:rsidRDefault="00E8228B" w14:paraId="3811FB65" w14:textId="77777777">
      <w:pPr>
        <w:pStyle w:val="Prrafodelista"/>
        <w:numPr>
          <w:ilvl w:val="0"/>
          <w:numId w:val="12"/>
        </w:numPr>
        <w:spacing w:after="0" w:line="0" w:lineRule="atLeast"/>
        <w:jc w:val="both"/>
      </w:pPr>
      <w:r w:rsidRPr="001F3514">
        <w:t>Mención de los retos que podrían enfrentarse y cómo se abordarían</w:t>
      </w:r>
    </w:p>
    <w:p w:rsidRPr="001F3514" w:rsidR="00E8228B" w:rsidP="00E8228B" w:rsidRDefault="00E8228B" w14:paraId="24E6138E" w14:textId="77777777">
      <w:pPr>
        <w:pStyle w:val="Prrafodelista"/>
        <w:numPr>
          <w:ilvl w:val="0"/>
          <w:numId w:val="12"/>
        </w:numPr>
        <w:spacing w:after="0" w:line="0" w:lineRule="atLeast"/>
        <w:jc w:val="both"/>
        <w:rPr>
          <w:rFonts w:cstheme="minorHAnsi"/>
        </w:rPr>
      </w:pPr>
      <w:r w:rsidRPr="001F3514">
        <w:rPr>
          <w:rFonts w:cstheme="minorHAnsi"/>
        </w:rPr>
        <w:t>Plan de trabajo y cronograma correspondiente</w:t>
      </w:r>
    </w:p>
    <w:p w:rsidRPr="001F3514" w:rsidR="00E8228B" w:rsidP="00E8228B" w:rsidRDefault="00E8228B" w14:paraId="2988FB77" w14:textId="77777777">
      <w:pPr>
        <w:pStyle w:val="Prrafodelista"/>
        <w:numPr>
          <w:ilvl w:val="0"/>
          <w:numId w:val="12"/>
        </w:numPr>
        <w:spacing w:after="0" w:line="0" w:lineRule="atLeast"/>
        <w:jc w:val="both"/>
        <w:rPr>
          <w:rFonts w:cstheme="minorHAnsi"/>
        </w:rPr>
      </w:pPr>
      <w:r w:rsidRPr="001F3514">
        <w:rPr>
          <w:rFonts w:cstheme="minorHAnsi"/>
        </w:rPr>
        <w:t>Presupuesto desglosado</w:t>
      </w:r>
    </w:p>
    <w:p w:rsidRPr="001F3514" w:rsidR="00E8228B" w:rsidP="00E8228B" w:rsidRDefault="00E8228B" w14:paraId="0723C5A6" w14:textId="77777777">
      <w:pPr>
        <w:pStyle w:val="Prrafodelista"/>
        <w:numPr>
          <w:ilvl w:val="0"/>
          <w:numId w:val="12"/>
        </w:numPr>
        <w:spacing w:after="0" w:line="0" w:lineRule="atLeast"/>
        <w:jc w:val="both"/>
        <w:rPr>
          <w:rFonts w:cstheme="minorHAnsi"/>
        </w:rPr>
      </w:pPr>
      <w:r w:rsidRPr="001F3514">
        <w:rPr>
          <w:rFonts w:cstheme="minorHAnsi"/>
        </w:rPr>
        <w:t>CV institucional del proveedor</w:t>
      </w:r>
    </w:p>
    <w:p w:rsidRPr="001F3514" w:rsidR="00E8228B" w:rsidP="00E8228B" w:rsidRDefault="00E8228B" w14:paraId="02621460" w14:textId="77777777">
      <w:pPr>
        <w:pStyle w:val="Prrafodelista"/>
        <w:numPr>
          <w:ilvl w:val="0"/>
          <w:numId w:val="12"/>
        </w:numPr>
        <w:spacing w:after="0" w:line="0" w:lineRule="atLeast"/>
        <w:jc w:val="both"/>
      </w:pPr>
      <w:r w:rsidRPr="001F3514">
        <w:t>Semblanza de cada persona integrante del proveedor</w:t>
      </w:r>
    </w:p>
    <w:p w:rsidRPr="001F3514" w:rsidR="00E8228B" w:rsidP="00E8228B" w:rsidRDefault="00E8228B" w14:paraId="07B45AA7" w14:textId="77777777">
      <w:pPr>
        <w:pStyle w:val="Prrafodelista"/>
        <w:numPr>
          <w:ilvl w:val="0"/>
          <w:numId w:val="12"/>
        </w:numPr>
        <w:spacing w:after="0" w:line="0" w:lineRule="atLeast"/>
        <w:jc w:val="both"/>
      </w:pPr>
      <w:r w:rsidRPr="001F3514">
        <w:t>Contar con experiencia en enfoque de género, derechos humanos y accesibilidad</w:t>
      </w:r>
    </w:p>
    <w:p w:rsidRPr="001F3514" w:rsidR="00E8228B" w:rsidP="00E8228B" w:rsidRDefault="00E8228B" w14:paraId="2D067FDB" w14:textId="77777777">
      <w:pPr>
        <w:pStyle w:val="Prrafodelista"/>
        <w:numPr>
          <w:ilvl w:val="0"/>
          <w:numId w:val="12"/>
        </w:numPr>
        <w:spacing w:after="0" w:line="0" w:lineRule="atLeast"/>
        <w:jc w:val="both"/>
      </w:pPr>
      <w:r w:rsidRPr="001F3514">
        <w:lastRenderedPageBreak/>
        <w:t xml:space="preserve">Evidencia de consultorías anteriores </w:t>
      </w:r>
    </w:p>
    <w:p w:rsidRPr="001F3514" w:rsidR="00AF66BD" w:rsidP="006F50C9" w:rsidRDefault="00AF66BD" w14:paraId="29B4C275" w14:textId="77777777">
      <w:pPr>
        <w:spacing w:after="0" w:line="0" w:lineRule="atLeast"/>
        <w:jc w:val="both"/>
      </w:pPr>
    </w:p>
    <w:p w:rsidRPr="001F3514" w:rsidR="006F50C9" w:rsidP="006F50C9" w:rsidRDefault="006C3793" w14:paraId="5EFF7B2C" w14:textId="2BEBDB9D">
      <w:pPr>
        <w:spacing w:after="0" w:line="0" w:lineRule="atLeast"/>
        <w:jc w:val="both"/>
      </w:pPr>
      <w:r w:rsidRPr="001F3514">
        <w:t xml:space="preserve">En caso de requerirlo, se solicitará más información sobre las propuestas </w:t>
      </w:r>
      <w:r w:rsidRPr="001F3514" w:rsidR="003F12F0">
        <w:t xml:space="preserve">y/o la </w:t>
      </w:r>
      <w:r w:rsidRPr="001F3514" w:rsidR="003E7B84">
        <w:t>consultora</w:t>
      </w:r>
      <w:r w:rsidRPr="001F3514" w:rsidR="003F12F0">
        <w:t>.</w:t>
      </w:r>
    </w:p>
    <w:p w:rsidRPr="001F3514" w:rsidR="006D0631" w:rsidP="006D0631" w:rsidRDefault="006D0631" w14:paraId="24C5CEB4" w14:textId="081F72F1">
      <w:pPr>
        <w:pStyle w:val="Ttulo1"/>
      </w:pPr>
      <w:r w:rsidRPr="001F3514">
        <w:t>Calendario</w:t>
      </w:r>
    </w:p>
    <w:p w:rsidRPr="001F3514" w:rsidR="00577E2E" w:rsidP="00577E2E" w:rsidRDefault="00577E2E" w14:paraId="4FD268F9" w14:textId="77777777">
      <w:pPr>
        <w:pStyle w:val="Prrafodelista"/>
        <w:spacing w:after="0" w:line="0" w:lineRule="atLeast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3657"/>
      </w:tblGrid>
      <w:tr w:rsidRPr="001F3514" w:rsidR="00577E2E" w:rsidTr="02EFDEDE" w14:paraId="10381569" w14:textId="77777777">
        <w:trPr>
          <w:jc w:val="center"/>
        </w:trPr>
        <w:tc>
          <w:tcPr>
            <w:tcW w:w="4135" w:type="dxa"/>
            <w:tcMar/>
          </w:tcPr>
          <w:p w:rsidRPr="001F3514" w:rsidR="00577E2E" w:rsidP="00383205" w:rsidRDefault="00577E2E" w14:paraId="6FAA0CE0" w14:textId="099CA911">
            <w:pPr>
              <w:spacing w:line="0" w:lineRule="atLeast"/>
              <w:jc w:val="center"/>
              <w:rPr>
                <w:b/>
                <w:bCs/>
              </w:rPr>
            </w:pPr>
            <w:r w:rsidRPr="001F3514">
              <w:rPr>
                <w:b/>
                <w:bCs/>
              </w:rPr>
              <w:t>Actividad</w:t>
            </w:r>
          </w:p>
        </w:tc>
        <w:tc>
          <w:tcPr>
            <w:tcW w:w="3657" w:type="dxa"/>
            <w:tcMar/>
          </w:tcPr>
          <w:p w:rsidRPr="001F3514" w:rsidR="00577E2E" w:rsidP="00383205" w:rsidRDefault="00577E2E" w14:paraId="69BCEF60" w14:textId="275708AF">
            <w:pPr>
              <w:spacing w:line="0" w:lineRule="atLeast"/>
              <w:jc w:val="center"/>
              <w:rPr>
                <w:b/>
                <w:bCs/>
              </w:rPr>
            </w:pPr>
            <w:r w:rsidRPr="001F3514">
              <w:rPr>
                <w:b/>
                <w:bCs/>
              </w:rPr>
              <w:t>Fecha</w:t>
            </w:r>
          </w:p>
        </w:tc>
      </w:tr>
      <w:tr w:rsidRPr="001F3514" w:rsidR="00D600A3" w:rsidTr="02EFDEDE" w14:paraId="76095195" w14:textId="77777777">
        <w:trPr>
          <w:jc w:val="center"/>
        </w:trPr>
        <w:tc>
          <w:tcPr>
            <w:tcW w:w="4135" w:type="dxa"/>
            <w:tcMar/>
          </w:tcPr>
          <w:p w:rsidRPr="001F3514" w:rsidR="00D600A3" w:rsidP="00D600A3" w:rsidRDefault="00D600A3" w14:paraId="529A2753" w14:textId="7A7C870F">
            <w:pPr>
              <w:spacing w:line="0" w:lineRule="atLeast"/>
              <w:jc w:val="both"/>
            </w:pPr>
            <w:r w:rsidRPr="001F3514">
              <w:t>Fecha de publicación</w:t>
            </w:r>
          </w:p>
        </w:tc>
        <w:tc>
          <w:tcPr>
            <w:tcW w:w="3657" w:type="dxa"/>
            <w:tcMar/>
          </w:tcPr>
          <w:p w:rsidRPr="001F3514" w:rsidR="00D600A3" w:rsidP="00D600A3" w:rsidRDefault="00D600A3" w14:paraId="7EE36E3F" w14:textId="6AC68457">
            <w:pPr>
              <w:spacing w:line="0" w:lineRule="atLeast"/>
              <w:jc w:val="both"/>
            </w:pPr>
            <w:r w:rsidRPr="001F3514">
              <w:t>17 de abril de 2023</w:t>
            </w:r>
          </w:p>
        </w:tc>
      </w:tr>
      <w:tr w:rsidRPr="001F3514" w:rsidR="00D600A3" w:rsidTr="02EFDEDE" w14:paraId="44ACE764" w14:textId="77777777">
        <w:trPr>
          <w:jc w:val="center"/>
        </w:trPr>
        <w:tc>
          <w:tcPr>
            <w:tcW w:w="4135" w:type="dxa"/>
            <w:tcMar/>
          </w:tcPr>
          <w:p w:rsidRPr="001F3514" w:rsidR="00D600A3" w:rsidP="00D600A3" w:rsidRDefault="00D600A3" w14:paraId="7D37E00A" w14:textId="084C497B">
            <w:pPr>
              <w:spacing w:line="0" w:lineRule="atLeast"/>
              <w:jc w:val="both"/>
            </w:pPr>
            <w:r w:rsidRPr="001F3514">
              <w:t>Registro para la sesión informativa</w:t>
            </w:r>
          </w:p>
        </w:tc>
        <w:tc>
          <w:tcPr>
            <w:tcW w:w="3657" w:type="dxa"/>
            <w:tcMar/>
          </w:tcPr>
          <w:p w:rsidRPr="001F3514" w:rsidR="00D600A3" w:rsidP="00D600A3" w:rsidRDefault="00D600A3" w14:paraId="639ACCBA" w14:textId="5CCFF7F6">
            <w:pPr>
              <w:spacing w:line="0" w:lineRule="atLeast"/>
              <w:jc w:val="both"/>
            </w:pPr>
            <w:r w:rsidRPr="001F3514">
              <w:t>28 de abril de 2023</w:t>
            </w:r>
          </w:p>
        </w:tc>
      </w:tr>
      <w:tr w:rsidRPr="001F3514" w:rsidR="00D600A3" w:rsidTr="02EFDEDE" w14:paraId="56502CBA" w14:textId="77777777">
        <w:trPr>
          <w:jc w:val="center"/>
        </w:trPr>
        <w:tc>
          <w:tcPr>
            <w:tcW w:w="4135" w:type="dxa"/>
            <w:tcMar/>
          </w:tcPr>
          <w:p w:rsidRPr="001F3514" w:rsidR="00D600A3" w:rsidP="00D600A3" w:rsidRDefault="00D600A3" w14:paraId="5E8BB424" w14:textId="46A8207E">
            <w:pPr>
              <w:spacing w:line="0" w:lineRule="atLeast"/>
              <w:jc w:val="both"/>
            </w:pPr>
            <w:r w:rsidRPr="001F3514">
              <w:t>Sesión informativa</w:t>
            </w:r>
          </w:p>
        </w:tc>
        <w:tc>
          <w:tcPr>
            <w:tcW w:w="3657" w:type="dxa"/>
            <w:tcMar/>
          </w:tcPr>
          <w:p w:rsidRPr="001F3514" w:rsidR="00D600A3" w:rsidP="00D600A3" w:rsidRDefault="00D600A3" w14:paraId="308AC263" w14:textId="31688A09">
            <w:pPr>
              <w:spacing w:line="0" w:lineRule="atLeast"/>
              <w:jc w:val="both"/>
            </w:pPr>
            <w:r w:rsidRPr="001F3514">
              <w:t>5 de mayo de 2023</w:t>
            </w:r>
          </w:p>
        </w:tc>
      </w:tr>
      <w:tr w:rsidRPr="001F3514" w:rsidR="00D600A3" w:rsidTr="02EFDEDE" w14:paraId="43D13488" w14:textId="77777777">
        <w:trPr>
          <w:jc w:val="center"/>
        </w:trPr>
        <w:tc>
          <w:tcPr>
            <w:tcW w:w="4135" w:type="dxa"/>
            <w:tcMar/>
          </w:tcPr>
          <w:p w:rsidRPr="001F3514" w:rsidR="00D600A3" w:rsidP="00D600A3" w:rsidRDefault="00D600A3" w14:paraId="5CD0B076" w14:textId="60159DB7">
            <w:pPr>
              <w:spacing w:line="0" w:lineRule="atLeast"/>
              <w:jc w:val="both"/>
            </w:pPr>
            <w:r w:rsidRPr="001F3514">
              <w:t>Recepción de propuestas</w:t>
            </w:r>
          </w:p>
        </w:tc>
        <w:tc>
          <w:tcPr>
            <w:tcW w:w="3657" w:type="dxa"/>
            <w:tcMar/>
          </w:tcPr>
          <w:p w:rsidRPr="001F3514" w:rsidR="00D600A3" w:rsidP="00D600A3" w:rsidRDefault="00D600A3" w14:paraId="4D0E975A" w14:textId="128443CE">
            <w:pPr>
              <w:spacing w:line="0" w:lineRule="atLeast"/>
              <w:jc w:val="both"/>
            </w:pPr>
            <w:r w:rsidRPr="001F3514">
              <w:t>Límite al 19 de mayo de 2023, a las 14 hrs.</w:t>
            </w:r>
          </w:p>
        </w:tc>
      </w:tr>
      <w:tr w:rsidRPr="001F3514" w:rsidR="00D600A3" w:rsidTr="02EFDEDE" w14:paraId="5BCDC363" w14:textId="77777777">
        <w:trPr>
          <w:jc w:val="center"/>
        </w:trPr>
        <w:tc>
          <w:tcPr>
            <w:tcW w:w="4135" w:type="dxa"/>
            <w:tcMar/>
          </w:tcPr>
          <w:p w:rsidRPr="001F3514" w:rsidR="00D600A3" w:rsidP="00D600A3" w:rsidRDefault="00D600A3" w14:paraId="4BD92145" w14:textId="191B0583">
            <w:pPr>
              <w:spacing w:line="0" w:lineRule="atLeast"/>
              <w:jc w:val="both"/>
            </w:pPr>
            <w:r w:rsidRPr="001F3514">
              <w:t xml:space="preserve">Notificación de resultados </w:t>
            </w:r>
          </w:p>
        </w:tc>
        <w:tc>
          <w:tcPr>
            <w:tcW w:w="3657" w:type="dxa"/>
            <w:tcMar/>
          </w:tcPr>
          <w:p w:rsidRPr="001F3514" w:rsidR="00D600A3" w:rsidP="00D600A3" w:rsidRDefault="00D600A3" w14:paraId="63DE2211" w14:textId="2AA13A87">
            <w:pPr>
              <w:spacing w:line="0" w:lineRule="atLeast"/>
              <w:jc w:val="both"/>
            </w:pPr>
            <w:r w:rsidR="06DD8272">
              <w:rPr/>
              <w:t>6</w:t>
            </w:r>
            <w:r w:rsidR="00D600A3">
              <w:rPr/>
              <w:t xml:space="preserve"> de </w:t>
            </w:r>
            <w:r w:rsidR="27B8269D">
              <w:rPr/>
              <w:t>junio</w:t>
            </w:r>
            <w:r w:rsidR="4C7DDA53">
              <w:rPr/>
              <w:t xml:space="preserve"> </w:t>
            </w:r>
            <w:r w:rsidR="00D600A3">
              <w:rPr/>
              <w:t>d</w:t>
            </w:r>
            <w:r w:rsidR="00D600A3">
              <w:rPr/>
              <w:t>el 2023</w:t>
            </w:r>
          </w:p>
        </w:tc>
      </w:tr>
      <w:tr w:rsidRPr="001F3514" w:rsidR="00D600A3" w:rsidTr="02EFDEDE" w14:paraId="66EB34F3" w14:textId="77777777">
        <w:trPr>
          <w:jc w:val="center"/>
        </w:trPr>
        <w:tc>
          <w:tcPr>
            <w:tcW w:w="4135" w:type="dxa"/>
            <w:tcMar/>
          </w:tcPr>
          <w:p w:rsidRPr="001F3514" w:rsidR="00D600A3" w:rsidP="00D600A3" w:rsidRDefault="00D600A3" w14:paraId="7FCD854D" w14:textId="2D45880B">
            <w:pPr>
              <w:spacing w:line="0" w:lineRule="atLeast"/>
              <w:jc w:val="both"/>
            </w:pPr>
            <w:r w:rsidRPr="001F3514">
              <w:t>Firma de contrato</w:t>
            </w:r>
          </w:p>
        </w:tc>
        <w:tc>
          <w:tcPr>
            <w:tcW w:w="3657" w:type="dxa"/>
            <w:tcMar/>
          </w:tcPr>
          <w:p w:rsidRPr="001F3514" w:rsidR="00D600A3" w:rsidP="00D600A3" w:rsidRDefault="00D600A3" w14:paraId="0A7FE119" w14:textId="30C2C573">
            <w:pPr>
              <w:spacing w:line="0" w:lineRule="atLeast"/>
              <w:jc w:val="both"/>
            </w:pPr>
            <w:r w:rsidR="7EB49AE5">
              <w:rPr/>
              <w:t>13</w:t>
            </w:r>
            <w:r w:rsidR="00D600A3">
              <w:rPr/>
              <w:t xml:space="preserve"> de </w:t>
            </w:r>
            <w:r w:rsidR="27FAAA94">
              <w:rPr/>
              <w:t xml:space="preserve">junio </w:t>
            </w:r>
            <w:r w:rsidR="00D600A3">
              <w:rPr/>
              <w:t>del 2023</w:t>
            </w:r>
          </w:p>
        </w:tc>
      </w:tr>
      <w:tr w:rsidRPr="001F3514" w:rsidR="00D600A3" w:rsidTr="02EFDEDE" w14:paraId="6A406FFD" w14:textId="77777777">
        <w:trPr>
          <w:jc w:val="center"/>
        </w:trPr>
        <w:tc>
          <w:tcPr>
            <w:tcW w:w="4135" w:type="dxa"/>
            <w:tcMar/>
          </w:tcPr>
          <w:p w:rsidRPr="001F3514" w:rsidR="00D600A3" w:rsidP="00D600A3" w:rsidRDefault="00D600A3" w14:paraId="685B494F" w14:textId="7D148522">
            <w:pPr>
              <w:spacing w:line="0" w:lineRule="atLeast"/>
              <w:jc w:val="both"/>
            </w:pPr>
            <w:r w:rsidRPr="001F3514">
              <w:t>Inicio de la consultoría</w:t>
            </w:r>
          </w:p>
        </w:tc>
        <w:tc>
          <w:tcPr>
            <w:tcW w:w="3657" w:type="dxa"/>
            <w:tcMar/>
          </w:tcPr>
          <w:p w:rsidRPr="001F3514" w:rsidR="00D600A3" w:rsidP="00D600A3" w:rsidRDefault="00D600A3" w14:paraId="11183F48" w14:textId="11786676">
            <w:pPr>
              <w:spacing w:line="0" w:lineRule="atLeast"/>
              <w:jc w:val="both"/>
            </w:pPr>
            <w:r w:rsidRPr="001F3514">
              <w:t>16 de junio de 2023</w:t>
            </w:r>
          </w:p>
        </w:tc>
      </w:tr>
    </w:tbl>
    <w:p w:rsidRPr="001F3514" w:rsidR="00E8228B" w:rsidP="00E8228B" w:rsidRDefault="00E8228B" w14:paraId="75B70A11" w14:textId="34A69804">
      <w:pPr>
        <w:pStyle w:val="Ttulo1"/>
      </w:pPr>
      <w:r w:rsidRPr="001F3514">
        <w:t>Confidencialidad de la información y derechos de propiedad</w:t>
      </w:r>
    </w:p>
    <w:p w:rsidRPr="001F3514" w:rsidR="00E8228B" w:rsidP="00E8228B" w:rsidRDefault="00E8228B" w14:paraId="10AEE46D" w14:textId="77777777">
      <w:pPr>
        <w:jc w:val="both"/>
      </w:pPr>
      <w:r w:rsidRPr="001F3514">
        <w:t>La entidad contratada deberá reconocer que la información y documentación que se le proporcione, así como los datos y resultados obtenidos de la prestación de los servicios contratados, son propiedad de la entidad contratante, con el carácter confidencial y reservados en términos de la normatividad aplicable y las disposiciones del contrato.</w:t>
      </w:r>
    </w:p>
    <w:p w:rsidRPr="001F3514" w:rsidR="00E8228B" w:rsidP="00E8228B" w:rsidRDefault="00E8228B" w14:paraId="207DF26E" w14:textId="77777777">
      <w:pPr>
        <w:jc w:val="both"/>
      </w:pPr>
      <w:r w:rsidRPr="001F3514">
        <w:t>El monto que la entidad contratante pague a la entidad contratada, en los términos del contrato de prestación de servicios que suscriban, incluye la titularidad de los derechos patrimoniales a favor de la entidad contratante sobre los entregables y demás que resulten derivados de los servicios materia de contratación, por lo que el consultor no tendrá derecho a cobrar cantidad adicional por este concepto.</w:t>
      </w:r>
    </w:p>
    <w:p w:rsidRPr="00E8228B" w:rsidR="00E8228B" w:rsidP="00E8228B" w:rsidRDefault="00E8228B" w14:paraId="76229988" w14:textId="1ACA2EB8">
      <w:pPr>
        <w:jc w:val="both"/>
      </w:pPr>
      <w:r w:rsidRPr="001F3514">
        <w:t>Los documentos y materiales producidos, tales como escritos, gráficos, medios magnéticos, programas de computación, bases de datos y demás documentos o elementos generados en el desempeño de sus funciones, pasarán a ser propiedad de la entidad contratante, quien tendrá el derecho exclusivo para comunicar, publicar y difundir los documentos originados de esta evaluación, por lo que el proveedor no tendrá derecho a cobrar cantidades adicionales por los productos o servicios derivados de esta.</w:t>
      </w:r>
    </w:p>
    <w:sectPr w:rsidRPr="00E8228B" w:rsidR="00E8228B">
      <w:footerReference w:type="even" r:id="rId7"/>
      <w:footerReference w:type="default" r:id="rId8"/>
      <w:footerReference w:type="first" r:id="rId9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2668" w:rsidP="00540D0A" w:rsidRDefault="007F2668" w14:paraId="087AAE8F" w14:textId="77777777">
      <w:pPr>
        <w:spacing w:after="0" w:line="240" w:lineRule="auto"/>
      </w:pPr>
      <w:r>
        <w:separator/>
      </w:r>
    </w:p>
  </w:endnote>
  <w:endnote w:type="continuationSeparator" w:id="0">
    <w:p w:rsidR="007F2668" w:rsidP="00540D0A" w:rsidRDefault="007F2668" w14:paraId="150F1850" w14:textId="77777777">
      <w:pPr>
        <w:spacing w:after="0" w:line="240" w:lineRule="auto"/>
      </w:pPr>
      <w:r>
        <w:continuationSeparator/>
      </w:r>
    </w:p>
  </w:endnote>
  <w:endnote w:type="continuationNotice" w:id="1">
    <w:p w:rsidR="007F2668" w:rsidRDefault="007F2668" w14:paraId="36EA385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&quot;Courier New&quot;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540D0A" w:rsidRDefault="00540D0A" w14:paraId="2D15FF58" w14:textId="2F599B26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BA1C524" wp14:editId="0A257A0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2" name="Text Box 2" descr="--- Confidencial --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40D0A" w:rsidR="00540D0A" w:rsidP="00540D0A" w:rsidRDefault="00540D0A" w14:paraId="12987EA2" w14:textId="7F3EBF80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40D0A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--- Confidencial ---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BA1C524">
              <v:stroke joinstyle="miter"/>
              <v:path gradientshapeok="t" o:connecttype="rect"/>
            </v:shapetype>
            <v:shape id="Text Box 2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--- Confidencial ---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textbox style="mso-fit-shape-to-text:t" inset="0,0,0,15pt">
                <w:txbxContent>
                  <w:p w:rsidRPr="00540D0A" w:rsidR="00540D0A" w:rsidP="00540D0A" w:rsidRDefault="00540D0A" w14:paraId="12987EA2" w14:textId="7F3EBF80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40D0A">
                      <w:rPr>
                        <w:rFonts w:ascii="Calibri" w:hAnsi="Calibri" w:eastAsia="Calibri" w:cs="Calibri"/>
                        <w:noProof/>
                        <w:color w:val="000000"/>
                        <w:sz w:val="16"/>
                        <w:szCs w:val="16"/>
                      </w:rPr>
                      <w:t>--- Confidencial ---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540D0A" w:rsidRDefault="00540D0A" w14:paraId="326E962E" w14:textId="48E1FC26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093279B" wp14:editId="731AAAE5">
              <wp:simplePos x="1076325" y="9436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3" name="Text Box 3" descr="--- Confidencial --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40D0A" w:rsidR="00540D0A" w:rsidP="00540D0A" w:rsidRDefault="00540D0A" w14:paraId="5B035503" w14:textId="29E13101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40D0A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--- Confidencial ---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093279B">
              <v:stroke joinstyle="miter"/>
              <v:path gradientshapeok="t" o:connecttype="rect"/>
            </v:shapetype>
            <v:shape id="Text Box 3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--- Confidencial ---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>
              <v:textbox style="mso-fit-shape-to-text:t" inset="0,0,0,15pt">
                <w:txbxContent>
                  <w:p w:rsidRPr="00540D0A" w:rsidR="00540D0A" w:rsidP="00540D0A" w:rsidRDefault="00540D0A" w14:paraId="5B035503" w14:textId="29E13101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40D0A">
                      <w:rPr>
                        <w:rFonts w:ascii="Calibri" w:hAnsi="Calibri" w:eastAsia="Calibri" w:cs="Calibri"/>
                        <w:noProof/>
                        <w:color w:val="000000"/>
                        <w:sz w:val="16"/>
                        <w:szCs w:val="16"/>
                      </w:rPr>
                      <w:t>--- Confidencial ---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540D0A" w:rsidRDefault="00540D0A" w14:paraId="776EA459" w14:textId="690400F5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A59B2F" wp14:editId="42D3561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" name="Text Box 1" descr="--- Confidencial --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40D0A" w:rsidR="00540D0A" w:rsidP="00540D0A" w:rsidRDefault="00540D0A" w14:paraId="772E083B" w14:textId="3BFEBE36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40D0A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--- Confidencial ---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9A59B2F">
              <v:stroke joinstyle="miter"/>
              <v:path gradientshapeok="t" o:connecttype="rect"/>
            </v:shapetype>
            <v:shape id="Text Box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--- Confidencial ---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<v:textbox style="mso-fit-shape-to-text:t" inset="0,0,0,15pt">
                <w:txbxContent>
                  <w:p w:rsidRPr="00540D0A" w:rsidR="00540D0A" w:rsidP="00540D0A" w:rsidRDefault="00540D0A" w14:paraId="772E083B" w14:textId="3BFEBE36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40D0A">
                      <w:rPr>
                        <w:rFonts w:ascii="Calibri" w:hAnsi="Calibri" w:eastAsia="Calibri" w:cs="Calibri"/>
                        <w:noProof/>
                        <w:color w:val="000000"/>
                        <w:sz w:val="16"/>
                        <w:szCs w:val="16"/>
                      </w:rPr>
                      <w:t>--- Confidencial ---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2668" w:rsidP="00540D0A" w:rsidRDefault="007F2668" w14:paraId="2E4DC649" w14:textId="77777777">
      <w:pPr>
        <w:spacing w:after="0" w:line="240" w:lineRule="auto"/>
      </w:pPr>
      <w:r>
        <w:separator/>
      </w:r>
    </w:p>
  </w:footnote>
  <w:footnote w:type="continuationSeparator" w:id="0">
    <w:p w:rsidR="007F2668" w:rsidP="00540D0A" w:rsidRDefault="007F2668" w14:paraId="76986587" w14:textId="77777777">
      <w:pPr>
        <w:spacing w:after="0" w:line="240" w:lineRule="auto"/>
      </w:pPr>
      <w:r>
        <w:continuationSeparator/>
      </w:r>
    </w:p>
  </w:footnote>
  <w:footnote w:type="continuationNotice" w:id="1">
    <w:p w:rsidR="007F2668" w:rsidRDefault="007F2668" w14:paraId="5F76866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08D7"/>
    <w:multiLevelType w:val="hybridMultilevel"/>
    <w:tmpl w:val="A498C5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673D0"/>
    <w:multiLevelType w:val="hybridMultilevel"/>
    <w:tmpl w:val="C1F2E652"/>
    <w:lvl w:ilvl="0" w:tplc="53F0A7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24A5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8E30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5AE9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3E13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50A3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FACD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46BF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CADF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6C1304"/>
    <w:multiLevelType w:val="hybridMultilevel"/>
    <w:tmpl w:val="82C2C4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93DE6"/>
    <w:multiLevelType w:val="hybridMultilevel"/>
    <w:tmpl w:val="9EA228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40EF4"/>
    <w:multiLevelType w:val="hybridMultilevel"/>
    <w:tmpl w:val="91CA7F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20ADBB"/>
    <w:multiLevelType w:val="hybridMultilevel"/>
    <w:tmpl w:val="6866730E"/>
    <w:lvl w:ilvl="0" w:tplc="511E4BC4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w:ilvl="1" w:tplc="337A39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6242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844A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28D1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A886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3200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44C9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D217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A8621C"/>
    <w:multiLevelType w:val="hybridMultilevel"/>
    <w:tmpl w:val="4282FA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CBBBB6"/>
    <w:multiLevelType w:val="hybridMultilevel"/>
    <w:tmpl w:val="A8149DB0"/>
    <w:lvl w:ilvl="0" w:tplc="1174EB0A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w:ilvl="1" w:tplc="82E86F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AEA9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6219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E222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26DC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FA98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E022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28FF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5C10FA6"/>
    <w:multiLevelType w:val="hybridMultilevel"/>
    <w:tmpl w:val="42F4EAB0"/>
    <w:lvl w:ilvl="0" w:tplc="FE1407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F242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84A3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E4B0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EEB2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5638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F675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D076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CC67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3C1375"/>
    <w:multiLevelType w:val="hybridMultilevel"/>
    <w:tmpl w:val="59D48E9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667101"/>
    <w:multiLevelType w:val="hybridMultilevel"/>
    <w:tmpl w:val="0CCC58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84D7142"/>
    <w:multiLevelType w:val="hybridMultilevel"/>
    <w:tmpl w:val="11D470B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25255">
    <w:abstractNumId w:val="7"/>
  </w:num>
  <w:num w:numId="2" w16cid:durableId="1284582158">
    <w:abstractNumId w:val="5"/>
  </w:num>
  <w:num w:numId="3" w16cid:durableId="985471836">
    <w:abstractNumId w:val="8"/>
  </w:num>
  <w:num w:numId="4" w16cid:durableId="1701084639">
    <w:abstractNumId w:val="1"/>
  </w:num>
  <w:num w:numId="5" w16cid:durableId="1415126203">
    <w:abstractNumId w:val="10"/>
  </w:num>
  <w:num w:numId="6" w16cid:durableId="2040544067">
    <w:abstractNumId w:val="6"/>
  </w:num>
  <w:num w:numId="7" w16cid:durableId="882331213">
    <w:abstractNumId w:val="2"/>
  </w:num>
  <w:num w:numId="8" w16cid:durableId="599097046">
    <w:abstractNumId w:val="3"/>
  </w:num>
  <w:num w:numId="9" w16cid:durableId="1914117392">
    <w:abstractNumId w:val="0"/>
  </w:num>
  <w:num w:numId="10" w16cid:durableId="2088723929">
    <w:abstractNumId w:val="11"/>
  </w:num>
  <w:num w:numId="11" w16cid:durableId="1628706584">
    <w:abstractNumId w:val="4"/>
  </w:num>
  <w:num w:numId="12" w16cid:durableId="9668536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hideSpellingErrors/>
  <w:hideGrammaticalErrors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E1"/>
    <w:rsid w:val="00032629"/>
    <w:rsid w:val="0006600C"/>
    <w:rsid w:val="000A1DE0"/>
    <w:rsid w:val="000D5AF5"/>
    <w:rsid w:val="000E0665"/>
    <w:rsid w:val="00102646"/>
    <w:rsid w:val="0011226C"/>
    <w:rsid w:val="00112B7B"/>
    <w:rsid w:val="00124573"/>
    <w:rsid w:val="0019332C"/>
    <w:rsid w:val="001A2DBA"/>
    <w:rsid w:val="001A7EE0"/>
    <w:rsid w:val="001B2E44"/>
    <w:rsid w:val="001C3D26"/>
    <w:rsid w:val="001F3514"/>
    <w:rsid w:val="001F6C88"/>
    <w:rsid w:val="00244767"/>
    <w:rsid w:val="002516A3"/>
    <w:rsid w:val="00251D5D"/>
    <w:rsid w:val="002808A4"/>
    <w:rsid w:val="002C3392"/>
    <w:rsid w:val="002D5273"/>
    <w:rsid w:val="002D6DBB"/>
    <w:rsid w:val="002F0058"/>
    <w:rsid w:val="002F1100"/>
    <w:rsid w:val="00307863"/>
    <w:rsid w:val="00343EB0"/>
    <w:rsid w:val="00354959"/>
    <w:rsid w:val="0037601F"/>
    <w:rsid w:val="00383205"/>
    <w:rsid w:val="0039597C"/>
    <w:rsid w:val="003E59BE"/>
    <w:rsid w:val="003E7B84"/>
    <w:rsid w:val="003F12F0"/>
    <w:rsid w:val="0041616A"/>
    <w:rsid w:val="00427B90"/>
    <w:rsid w:val="00463F74"/>
    <w:rsid w:val="00472D0C"/>
    <w:rsid w:val="004808ED"/>
    <w:rsid w:val="00498AC8"/>
    <w:rsid w:val="004D2B4A"/>
    <w:rsid w:val="004D735E"/>
    <w:rsid w:val="004E212C"/>
    <w:rsid w:val="004F6C3A"/>
    <w:rsid w:val="00512AE1"/>
    <w:rsid w:val="00513BD3"/>
    <w:rsid w:val="00540D0A"/>
    <w:rsid w:val="0056168F"/>
    <w:rsid w:val="00576559"/>
    <w:rsid w:val="00577E2E"/>
    <w:rsid w:val="005A1A63"/>
    <w:rsid w:val="005B0CD9"/>
    <w:rsid w:val="005B305D"/>
    <w:rsid w:val="005C48E0"/>
    <w:rsid w:val="005D57A9"/>
    <w:rsid w:val="006104DC"/>
    <w:rsid w:val="006132ED"/>
    <w:rsid w:val="00615CC5"/>
    <w:rsid w:val="00646EDF"/>
    <w:rsid w:val="0068300B"/>
    <w:rsid w:val="006C3793"/>
    <w:rsid w:val="006D0631"/>
    <w:rsid w:val="006E1F6D"/>
    <w:rsid w:val="006F4104"/>
    <w:rsid w:val="006F41EC"/>
    <w:rsid w:val="006F50C9"/>
    <w:rsid w:val="007215C8"/>
    <w:rsid w:val="00723160"/>
    <w:rsid w:val="007302FF"/>
    <w:rsid w:val="00737FF6"/>
    <w:rsid w:val="00750343"/>
    <w:rsid w:val="00772319"/>
    <w:rsid w:val="007C6BA1"/>
    <w:rsid w:val="007F2668"/>
    <w:rsid w:val="007F6DBC"/>
    <w:rsid w:val="008212BE"/>
    <w:rsid w:val="008249F7"/>
    <w:rsid w:val="008432D1"/>
    <w:rsid w:val="00851DEF"/>
    <w:rsid w:val="00856E27"/>
    <w:rsid w:val="00881832"/>
    <w:rsid w:val="00895A54"/>
    <w:rsid w:val="008A1297"/>
    <w:rsid w:val="009245E8"/>
    <w:rsid w:val="00956A1C"/>
    <w:rsid w:val="00967924"/>
    <w:rsid w:val="00973BBA"/>
    <w:rsid w:val="00997207"/>
    <w:rsid w:val="009A17D8"/>
    <w:rsid w:val="009A1E55"/>
    <w:rsid w:val="009D72A8"/>
    <w:rsid w:val="00A23CA4"/>
    <w:rsid w:val="00A424B9"/>
    <w:rsid w:val="00A502A8"/>
    <w:rsid w:val="00A57701"/>
    <w:rsid w:val="00AF66BD"/>
    <w:rsid w:val="00B15201"/>
    <w:rsid w:val="00B502E6"/>
    <w:rsid w:val="00BE5E8C"/>
    <w:rsid w:val="00BE6C8A"/>
    <w:rsid w:val="00BF5451"/>
    <w:rsid w:val="00C05660"/>
    <w:rsid w:val="00C147A1"/>
    <w:rsid w:val="00C158E1"/>
    <w:rsid w:val="00C16171"/>
    <w:rsid w:val="00C21D89"/>
    <w:rsid w:val="00C261F5"/>
    <w:rsid w:val="00C34A6C"/>
    <w:rsid w:val="00C45DB5"/>
    <w:rsid w:val="00C477D4"/>
    <w:rsid w:val="00C521C9"/>
    <w:rsid w:val="00C542D5"/>
    <w:rsid w:val="00CA2CDC"/>
    <w:rsid w:val="00CC1A39"/>
    <w:rsid w:val="00CC29A9"/>
    <w:rsid w:val="00CC4A1A"/>
    <w:rsid w:val="00CC4D1F"/>
    <w:rsid w:val="00CD3171"/>
    <w:rsid w:val="00CF6D6B"/>
    <w:rsid w:val="00D1633F"/>
    <w:rsid w:val="00D50490"/>
    <w:rsid w:val="00D53DDA"/>
    <w:rsid w:val="00D600A3"/>
    <w:rsid w:val="00D63FB7"/>
    <w:rsid w:val="00DD22AE"/>
    <w:rsid w:val="00E0118B"/>
    <w:rsid w:val="00E174F3"/>
    <w:rsid w:val="00E4298A"/>
    <w:rsid w:val="00E5717D"/>
    <w:rsid w:val="00E767BA"/>
    <w:rsid w:val="00E8228B"/>
    <w:rsid w:val="00E839E7"/>
    <w:rsid w:val="00EA055A"/>
    <w:rsid w:val="00EA703A"/>
    <w:rsid w:val="00EB57D0"/>
    <w:rsid w:val="00ED5F8A"/>
    <w:rsid w:val="00F1164D"/>
    <w:rsid w:val="00F56B25"/>
    <w:rsid w:val="00F67F1B"/>
    <w:rsid w:val="00FB6715"/>
    <w:rsid w:val="00FC270F"/>
    <w:rsid w:val="0120DE39"/>
    <w:rsid w:val="018CE16D"/>
    <w:rsid w:val="018DBD0A"/>
    <w:rsid w:val="01A61B1E"/>
    <w:rsid w:val="01C37160"/>
    <w:rsid w:val="01EB9FB9"/>
    <w:rsid w:val="01F5FE88"/>
    <w:rsid w:val="023B0018"/>
    <w:rsid w:val="029EC22A"/>
    <w:rsid w:val="02D4B48C"/>
    <w:rsid w:val="02EFDEDE"/>
    <w:rsid w:val="02FA3304"/>
    <w:rsid w:val="0309759D"/>
    <w:rsid w:val="033DFB03"/>
    <w:rsid w:val="034ADFBC"/>
    <w:rsid w:val="034E6C8C"/>
    <w:rsid w:val="0368C2DE"/>
    <w:rsid w:val="0389FB9A"/>
    <w:rsid w:val="03A4BAC9"/>
    <w:rsid w:val="03D2FC9A"/>
    <w:rsid w:val="0400C6AA"/>
    <w:rsid w:val="044B49FF"/>
    <w:rsid w:val="04AC693B"/>
    <w:rsid w:val="04DF2293"/>
    <w:rsid w:val="04F0AFCD"/>
    <w:rsid w:val="054D863D"/>
    <w:rsid w:val="05D022C9"/>
    <w:rsid w:val="05FB87F8"/>
    <w:rsid w:val="060F15E8"/>
    <w:rsid w:val="065AD539"/>
    <w:rsid w:val="06818896"/>
    <w:rsid w:val="069E9D38"/>
    <w:rsid w:val="06C50EF5"/>
    <w:rsid w:val="06DD8272"/>
    <w:rsid w:val="0706DEB6"/>
    <w:rsid w:val="07080DA6"/>
    <w:rsid w:val="076BF32A"/>
    <w:rsid w:val="07871F16"/>
    <w:rsid w:val="07E56663"/>
    <w:rsid w:val="07FF99D7"/>
    <w:rsid w:val="08273A84"/>
    <w:rsid w:val="08354E2D"/>
    <w:rsid w:val="08666EFC"/>
    <w:rsid w:val="090A4E85"/>
    <w:rsid w:val="0927A4C7"/>
    <w:rsid w:val="092BC13D"/>
    <w:rsid w:val="0946B6AA"/>
    <w:rsid w:val="09A90DA7"/>
    <w:rsid w:val="09C46BAB"/>
    <w:rsid w:val="0A13FC4D"/>
    <w:rsid w:val="0A3B1AE1"/>
    <w:rsid w:val="0A588898"/>
    <w:rsid w:val="0A60899A"/>
    <w:rsid w:val="0AA65578"/>
    <w:rsid w:val="0AAF1323"/>
    <w:rsid w:val="0AC7C07F"/>
    <w:rsid w:val="0AF7B749"/>
    <w:rsid w:val="0B057C11"/>
    <w:rsid w:val="0B7959A2"/>
    <w:rsid w:val="0BA169BD"/>
    <w:rsid w:val="0BB49ED7"/>
    <w:rsid w:val="0BC7DB7A"/>
    <w:rsid w:val="0BD5EF23"/>
    <w:rsid w:val="0BE3397E"/>
    <w:rsid w:val="0C933377"/>
    <w:rsid w:val="0CC5C09F"/>
    <w:rsid w:val="0CC67E0C"/>
    <w:rsid w:val="0CD8F870"/>
    <w:rsid w:val="0CD9FB66"/>
    <w:rsid w:val="0D5786A4"/>
    <w:rsid w:val="0D66DDA1"/>
    <w:rsid w:val="0D7287BD"/>
    <w:rsid w:val="0D77BC72"/>
    <w:rsid w:val="0DB06817"/>
    <w:rsid w:val="0E29425C"/>
    <w:rsid w:val="0E31D0F7"/>
    <w:rsid w:val="0E3F6002"/>
    <w:rsid w:val="0E5252F5"/>
    <w:rsid w:val="0E74C8D1"/>
    <w:rsid w:val="0E86E369"/>
    <w:rsid w:val="0EAC7C3C"/>
    <w:rsid w:val="0EB0FA64"/>
    <w:rsid w:val="0EE686B0"/>
    <w:rsid w:val="0EF16C75"/>
    <w:rsid w:val="0EF3A460"/>
    <w:rsid w:val="0EF4ADE5"/>
    <w:rsid w:val="0F045F0B"/>
    <w:rsid w:val="0F0BC97D"/>
    <w:rsid w:val="0F1C3B06"/>
    <w:rsid w:val="0F2A4EAF"/>
    <w:rsid w:val="0F56FBCC"/>
    <w:rsid w:val="102FE207"/>
    <w:rsid w:val="103B4FFA"/>
    <w:rsid w:val="104F6FDA"/>
    <w:rsid w:val="107AD9C5"/>
    <w:rsid w:val="107C08B5"/>
    <w:rsid w:val="10878210"/>
    <w:rsid w:val="10A750C4"/>
    <w:rsid w:val="10EC30D8"/>
    <w:rsid w:val="1194B5CA"/>
    <w:rsid w:val="1262D631"/>
    <w:rsid w:val="131C3F68"/>
    <w:rsid w:val="13600767"/>
    <w:rsid w:val="136ADCE3"/>
    <w:rsid w:val="13A58B36"/>
    <w:rsid w:val="13F56EA0"/>
    <w:rsid w:val="14538CF1"/>
    <w:rsid w:val="146071AA"/>
    <w:rsid w:val="146FB443"/>
    <w:rsid w:val="14942DC2"/>
    <w:rsid w:val="150EC11D"/>
    <w:rsid w:val="1540906C"/>
    <w:rsid w:val="1549702C"/>
    <w:rsid w:val="1549C9BF"/>
    <w:rsid w:val="158CE8E3"/>
    <w:rsid w:val="158E17D3"/>
    <w:rsid w:val="15CCE7A4"/>
    <w:rsid w:val="164ABA17"/>
    <w:rsid w:val="16E97939"/>
    <w:rsid w:val="172D4138"/>
    <w:rsid w:val="1744705C"/>
    <w:rsid w:val="1786401D"/>
    <w:rsid w:val="17BD2363"/>
    <w:rsid w:val="17E01B2A"/>
    <w:rsid w:val="17F69B1B"/>
    <w:rsid w:val="1815F072"/>
    <w:rsid w:val="18988842"/>
    <w:rsid w:val="1908470C"/>
    <w:rsid w:val="1908C6A3"/>
    <w:rsid w:val="194A016E"/>
    <w:rsid w:val="1956B041"/>
    <w:rsid w:val="19FB9A91"/>
    <w:rsid w:val="1A01FD51"/>
    <w:rsid w:val="1A14F960"/>
    <w:rsid w:val="1A208283"/>
    <w:rsid w:val="1A320D9D"/>
    <w:rsid w:val="1A462AF2"/>
    <w:rsid w:val="1A9EC28C"/>
    <w:rsid w:val="1ABFA747"/>
    <w:rsid w:val="1AD24E77"/>
    <w:rsid w:val="1B8A9A9D"/>
    <w:rsid w:val="1BA87DBF"/>
    <w:rsid w:val="1BCDDDFE"/>
    <w:rsid w:val="1BDE3215"/>
    <w:rsid w:val="1BFBACDB"/>
    <w:rsid w:val="1C3F5056"/>
    <w:rsid w:val="1C629AE5"/>
    <w:rsid w:val="1C7BC247"/>
    <w:rsid w:val="1C93E308"/>
    <w:rsid w:val="1CA662E4"/>
    <w:rsid w:val="1CCE0391"/>
    <w:rsid w:val="1CFDA1EC"/>
    <w:rsid w:val="1D2650BD"/>
    <w:rsid w:val="1DAAEB01"/>
    <w:rsid w:val="1DFB4418"/>
    <w:rsid w:val="1E53A978"/>
    <w:rsid w:val="1E644EE4"/>
    <w:rsid w:val="1E7CACF8"/>
    <w:rsid w:val="1EA9D2B3"/>
    <w:rsid w:val="1ED35575"/>
    <w:rsid w:val="1EE9A93B"/>
    <w:rsid w:val="1F04C9D6"/>
    <w:rsid w:val="1F140C6F"/>
    <w:rsid w:val="1F2BDDA3"/>
    <w:rsid w:val="1F3452B0"/>
    <w:rsid w:val="1F42B2FF"/>
    <w:rsid w:val="1FA26EBF"/>
    <w:rsid w:val="1FB2B98B"/>
    <w:rsid w:val="1FF52F47"/>
    <w:rsid w:val="204E9751"/>
    <w:rsid w:val="20A58326"/>
    <w:rsid w:val="2131AB52"/>
    <w:rsid w:val="214536B7"/>
    <w:rsid w:val="217F30DC"/>
    <w:rsid w:val="21AA9AC7"/>
    <w:rsid w:val="21E96A98"/>
    <w:rsid w:val="21ECF768"/>
    <w:rsid w:val="223AA430"/>
    <w:rsid w:val="223B3305"/>
    <w:rsid w:val="22560234"/>
    <w:rsid w:val="2257FA72"/>
    <w:rsid w:val="2267061D"/>
    <w:rsid w:val="234312EE"/>
    <w:rsid w:val="23CA978A"/>
    <w:rsid w:val="23E2F59E"/>
    <w:rsid w:val="23ED7C77"/>
    <w:rsid w:val="24776A55"/>
    <w:rsid w:val="248E5244"/>
    <w:rsid w:val="249C0B12"/>
    <w:rsid w:val="24E038B3"/>
    <w:rsid w:val="25788982"/>
    <w:rsid w:val="25EDF112"/>
    <w:rsid w:val="263D527F"/>
    <w:rsid w:val="264C490B"/>
    <w:rsid w:val="2668705D"/>
    <w:rsid w:val="26CA1B7E"/>
    <w:rsid w:val="26F91BD6"/>
    <w:rsid w:val="27464D08"/>
    <w:rsid w:val="27A50F05"/>
    <w:rsid w:val="27B5BE1A"/>
    <w:rsid w:val="27B8269D"/>
    <w:rsid w:val="27FAAA94"/>
    <w:rsid w:val="2843E268"/>
    <w:rsid w:val="284B4AD2"/>
    <w:rsid w:val="285E9735"/>
    <w:rsid w:val="28873E30"/>
    <w:rsid w:val="2894CA80"/>
    <w:rsid w:val="289F9C44"/>
    <w:rsid w:val="290ECE2E"/>
    <w:rsid w:val="2916BAB9"/>
    <w:rsid w:val="29386378"/>
    <w:rsid w:val="29435394"/>
    <w:rsid w:val="2946FCDB"/>
    <w:rsid w:val="2987A873"/>
    <w:rsid w:val="29D48BED"/>
    <w:rsid w:val="29E71B33"/>
    <w:rsid w:val="29EFE9F1"/>
    <w:rsid w:val="29F3111F"/>
    <w:rsid w:val="2A056E94"/>
    <w:rsid w:val="2A091153"/>
    <w:rsid w:val="2A095515"/>
    <w:rsid w:val="2A1B1C35"/>
    <w:rsid w:val="2A33B1F0"/>
    <w:rsid w:val="2A3C5DFD"/>
    <w:rsid w:val="2AE46B6B"/>
    <w:rsid w:val="2B876434"/>
    <w:rsid w:val="2BADD5F1"/>
    <w:rsid w:val="2BF19DF0"/>
    <w:rsid w:val="2C19BE2B"/>
    <w:rsid w:val="2C534911"/>
    <w:rsid w:val="2C79BACE"/>
    <w:rsid w:val="2CE5894A"/>
    <w:rsid w:val="2CFB23AE"/>
    <w:rsid w:val="2DB58E8C"/>
    <w:rsid w:val="2DFB66B3"/>
    <w:rsid w:val="2E0B8E99"/>
    <w:rsid w:val="2E5433C2"/>
    <w:rsid w:val="2E5C204D"/>
    <w:rsid w:val="2E878A38"/>
    <w:rsid w:val="2EAF2AE5"/>
    <w:rsid w:val="2EBA8C56"/>
    <w:rsid w:val="2EC65A09"/>
    <w:rsid w:val="2EF4AEB4"/>
    <w:rsid w:val="2F87876F"/>
    <w:rsid w:val="2F9858F0"/>
    <w:rsid w:val="2FBF8A20"/>
    <w:rsid w:val="2FC203FD"/>
    <w:rsid w:val="2FC7F33C"/>
    <w:rsid w:val="2FE48030"/>
    <w:rsid w:val="3017D6A6"/>
    <w:rsid w:val="30BEB61F"/>
    <w:rsid w:val="314B1543"/>
    <w:rsid w:val="318A9AFC"/>
    <w:rsid w:val="31B07FD9"/>
    <w:rsid w:val="31CA0CDD"/>
    <w:rsid w:val="31D904BB"/>
    <w:rsid w:val="3276DCBD"/>
    <w:rsid w:val="327D93A6"/>
    <w:rsid w:val="32CE69F1"/>
    <w:rsid w:val="32D5639B"/>
    <w:rsid w:val="32D7C17B"/>
    <w:rsid w:val="3347BDAE"/>
    <w:rsid w:val="33B3AEB7"/>
    <w:rsid w:val="34045FF2"/>
    <w:rsid w:val="34703201"/>
    <w:rsid w:val="34CFB7EF"/>
    <w:rsid w:val="34D8D36A"/>
    <w:rsid w:val="351B6C79"/>
    <w:rsid w:val="352AAF12"/>
    <w:rsid w:val="352B14B4"/>
    <w:rsid w:val="35430D26"/>
    <w:rsid w:val="3565A853"/>
    <w:rsid w:val="35904B7B"/>
    <w:rsid w:val="35954E70"/>
    <w:rsid w:val="360ECAC5"/>
    <w:rsid w:val="3615A347"/>
    <w:rsid w:val="362BF2F2"/>
    <w:rsid w:val="362F0B98"/>
    <w:rsid w:val="368CDAA1"/>
    <w:rsid w:val="36C08D06"/>
    <w:rsid w:val="36C7EBCC"/>
    <w:rsid w:val="375DFE6D"/>
    <w:rsid w:val="376F61C2"/>
    <w:rsid w:val="37A9F2FE"/>
    <w:rsid w:val="37B458B1"/>
    <w:rsid w:val="37E643C9"/>
    <w:rsid w:val="37E83C07"/>
    <w:rsid w:val="38358AC6"/>
    <w:rsid w:val="38944584"/>
    <w:rsid w:val="3896A364"/>
    <w:rsid w:val="38BBC5DD"/>
    <w:rsid w:val="38CE41C1"/>
    <w:rsid w:val="38DDCFFA"/>
    <w:rsid w:val="3977E731"/>
    <w:rsid w:val="39B4FB61"/>
    <w:rsid w:val="39E0981D"/>
    <w:rsid w:val="3A05119C"/>
    <w:rsid w:val="3A164C73"/>
    <w:rsid w:val="3A165034"/>
    <w:rsid w:val="3A3AC5F2"/>
    <w:rsid w:val="3A448B60"/>
    <w:rsid w:val="3A6F4B58"/>
    <w:rsid w:val="3A838A60"/>
    <w:rsid w:val="3A8872BA"/>
    <w:rsid w:val="3A8CA19A"/>
    <w:rsid w:val="3AD85624"/>
    <w:rsid w:val="3B797326"/>
    <w:rsid w:val="3BAF5F09"/>
    <w:rsid w:val="3C4B0142"/>
    <w:rsid w:val="3C77722A"/>
    <w:rsid w:val="3C80CED0"/>
    <w:rsid w:val="3CB68326"/>
    <w:rsid w:val="3CC29E91"/>
    <w:rsid w:val="3CCF3364"/>
    <w:rsid w:val="3CD4C028"/>
    <w:rsid w:val="3D70A04C"/>
    <w:rsid w:val="3D89C7AE"/>
    <w:rsid w:val="3DBDDFFD"/>
    <w:rsid w:val="3DC6E15E"/>
    <w:rsid w:val="3E0C707B"/>
    <w:rsid w:val="3E4C052B"/>
    <w:rsid w:val="3F1F49B3"/>
    <w:rsid w:val="3F386778"/>
    <w:rsid w:val="3F575BE9"/>
    <w:rsid w:val="3F74101B"/>
    <w:rsid w:val="3FB7D81A"/>
    <w:rsid w:val="3FC81E04"/>
    <w:rsid w:val="3FDE49D7"/>
    <w:rsid w:val="400FA544"/>
    <w:rsid w:val="4062B2A7"/>
    <w:rsid w:val="4063E197"/>
    <w:rsid w:val="4077B7B7"/>
    <w:rsid w:val="40A6FCBF"/>
    <w:rsid w:val="40C6BEFF"/>
    <w:rsid w:val="40E34FF6"/>
    <w:rsid w:val="40E64279"/>
    <w:rsid w:val="418EB85F"/>
    <w:rsid w:val="41A8314B"/>
    <w:rsid w:val="41CEC2FF"/>
    <w:rsid w:val="42216219"/>
    <w:rsid w:val="424EE1D9"/>
    <w:rsid w:val="42658132"/>
    <w:rsid w:val="42662276"/>
    <w:rsid w:val="429CBD8C"/>
    <w:rsid w:val="42A8BB85"/>
    <w:rsid w:val="42B605E0"/>
    <w:rsid w:val="42B64AD4"/>
    <w:rsid w:val="430D8EA0"/>
    <w:rsid w:val="43203F9C"/>
    <w:rsid w:val="438A7958"/>
    <w:rsid w:val="438BA848"/>
    <w:rsid w:val="43916ABF"/>
    <w:rsid w:val="43AEC101"/>
    <w:rsid w:val="43C78C80"/>
    <w:rsid w:val="43CC574F"/>
    <w:rsid w:val="444D8023"/>
    <w:rsid w:val="447520D0"/>
    <w:rsid w:val="449CC17D"/>
    <w:rsid w:val="44D146E3"/>
    <w:rsid w:val="44E39B4B"/>
    <w:rsid w:val="450B5157"/>
    <w:rsid w:val="453B809F"/>
    <w:rsid w:val="457A6DE2"/>
    <w:rsid w:val="459D21F4"/>
    <w:rsid w:val="45A9472B"/>
    <w:rsid w:val="45FDAFB5"/>
    <w:rsid w:val="46422D7B"/>
    <w:rsid w:val="4649353D"/>
    <w:rsid w:val="46A0D35C"/>
    <w:rsid w:val="46AC4CB7"/>
    <w:rsid w:val="46E03D55"/>
    <w:rsid w:val="46F014B6"/>
    <w:rsid w:val="46FCF96F"/>
    <w:rsid w:val="4715FAF6"/>
    <w:rsid w:val="471ADC91"/>
    <w:rsid w:val="475A3913"/>
    <w:rsid w:val="479D343E"/>
    <w:rsid w:val="47EE2119"/>
    <w:rsid w:val="4837F389"/>
    <w:rsid w:val="4865A530"/>
    <w:rsid w:val="48679D6E"/>
    <w:rsid w:val="48BE723F"/>
    <w:rsid w:val="48E17F65"/>
    <w:rsid w:val="48FD2A26"/>
    <w:rsid w:val="4906C232"/>
    <w:rsid w:val="491B6D23"/>
    <w:rsid w:val="4939049F"/>
    <w:rsid w:val="4959CCCA"/>
    <w:rsid w:val="4A42A342"/>
    <w:rsid w:val="4A43D232"/>
    <w:rsid w:val="4A4B31DD"/>
    <w:rsid w:val="4A5FF984"/>
    <w:rsid w:val="4A7728A8"/>
    <w:rsid w:val="4AEDFD5D"/>
    <w:rsid w:val="4B57B78B"/>
    <w:rsid w:val="4B84CFF4"/>
    <w:rsid w:val="4BBBA468"/>
    <w:rsid w:val="4BF8D48D"/>
    <w:rsid w:val="4C7DDA53"/>
    <w:rsid w:val="4C95F67B"/>
    <w:rsid w:val="4CBBDB58"/>
    <w:rsid w:val="4D26A1F4"/>
    <w:rsid w:val="4D321B20"/>
    <w:rsid w:val="4D37477E"/>
    <w:rsid w:val="4D452726"/>
    <w:rsid w:val="4D514291"/>
    <w:rsid w:val="4D520BDF"/>
    <w:rsid w:val="4D5B275A"/>
    <w:rsid w:val="4D74132F"/>
    <w:rsid w:val="4D8ECB88"/>
    <w:rsid w:val="4DDEA6E5"/>
    <w:rsid w:val="4DE87671"/>
    <w:rsid w:val="4E079780"/>
    <w:rsid w:val="4E498D78"/>
    <w:rsid w:val="4E7D9088"/>
    <w:rsid w:val="4EBC23F9"/>
    <w:rsid w:val="4ECB6692"/>
    <w:rsid w:val="4ED615A4"/>
    <w:rsid w:val="4EE3936F"/>
    <w:rsid w:val="4EFFEBF8"/>
    <w:rsid w:val="4FADEDB3"/>
    <w:rsid w:val="4FCD026A"/>
    <w:rsid w:val="4FDB136E"/>
    <w:rsid w:val="502DAF30"/>
    <w:rsid w:val="516281CA"/>
    <w:rsid w:val="51BD78ED"/>
    <w:rsid w:val="51CA0BD9"/>
    <w:rsid w:val="521ACDF0"/>
    <w:rsid w:val="521B3210"/>
    <w:rsid w:val="523F7369"/>
    <w:rsid w:val="5246C4BB"/>
    <w:rsid w:val="525E95EF"/>
    <w:rsid w:val="52CD25C9"/>
    <w:rsid w:val="5333BE51"/>
    <w:rsid w:val="53356747"/>
    <w:rsid w:val="5337C527"/>
    <w:rsid w:val="535DD142"/>
    <w:rsid w:val="538F7525"/>
    <w:rsid w:val="539FA103"/>
    <w:rsid w:val="53E5759D"/>
    <w:rsid w:val="53FCAED1"/>
    <w:rsid w:val="54200EBF"/>
    <w:rsid w:val="542E2268"/>
    <w:rsid w:val="543839BE"/>
    <w:rsid w:val="5451B1A7"/>
    <w:rsid w:val="54A51E0C"/>
    <w:rsid w:val="550295E0"/>
    <w:rsid w:val="5529079D"/>
    <w:rsid w:val="55384A36"/>
    <w:rsid w:val="55465DDF"/>
    <w:rsid w:val="5546EABF"/>
    <w:rsid w:val="55A85384"/>
    <w:rsid w:val="55CE7ABD"/>
    <w:rsid w:val="55F2F43C"/>
    <w:rsid w:val="562779A2"/>
    <w:rsid w:val="5628A892"/>
    <w:rsid w:val="5694113E"/>
    <w:rsid w:val="56944594"/>
    <w:rsid w:val="569D7CFC"/>
    <w:rsid w:val="56C896A4"/>
    <w:rsid w:val="572034C3"/>
    <w:rsid w:val="573AF0B7"/>
    <w:rsid w:val="57BECAAF"/>
    <w:rsid w:val="57C022D5"/>
    <w:rsid w:val="57CC00D7"/>
    <w:rsid w:val="57D880E9"/>
    <w:rsid w:val="57ED4890"/>
    <w:rsid w:val="580477B4"/>
    <w:rsid w:val="580BA760"/>
    <w:rsid w:val="58464775"/>
    <w:rsid w:val="5895232D"/>
    <w:rsid w:val="58B08131"/>
    <w:rsid w:val="58E76477"/>
    <w:rsid w:val="58F44930"/>
    <w:rsid w:val="592A1060"/>
    <w:rsid w:val="59A2BA7B"/>
    <w:rsid w:val="59C07439"/>
    <w:rsid w:val="5A49B744"/>
    <w:rsid w:val="5A6E6D31"/>
    <w:rsid w:val="5A7DAFCA"/>
    <w:rsid w:val="5ADF5AEB"/>
    <w:rsid w:val="5AF2E650"/>
    <w:rsid w:val="5AF68A0F"/>
    <w:rsid w:val="5AF7B8FF"/>
    <w:rsid w:val="5B3859D0"/>
    <w:rsid w:val="5BB996F9"/>
    <w:rsid w:val="5BCD2D52"/>
    <w:rsid w:val="5C07C0B6"/>
    <w:rsid w:val="5C3FD1F1"/>
    <w:rsid w:val="5C4AA1F5"/>
    <w:rsid w:val="5C52F327"/>
    <w:rsid w:val="5C699E23"/>
    <w:rsid w:val="5C8295A1"/>
    <w:rsid w:val="5D074439"/>
    <w:rsid w:val="5D253C8B"/>
    <w:rsid w:val="5D2E5806"/>
    <w:rsid w:val="5D3394E4"/>
    <w:rsid w:val="5D74F511"/>
    <w:rsid w:val="5D7F919E"/>
    <w:rsid w:val="5DA9CC99"/>
    <w:rsid w:val="5DE38FD8"/>
    <w:rsid w:val="5E32F9E5"/>
    <w:rsid w:val="5E3D3F55"/>
    <w:rsid w:val="5ECB892D"/>
    <w:rsid w:val="5F3398D5"/>
    <w:rsid w:val="5FDCA262"/>
    <w:rsid w:val="6006DD5D"/>
    <w:rsid w:val="604B323C"/>
    <w:rsid w:val="60587C97"/>
    <w:rsid w:val="60A4694B"/>
    <w:rsid w:val="60C3E543"/>
    <w:rsid w:val="60F01A44"/>
    <w:rsid w:val="61056686"/>
    <w:rsid w:val="610A4790"/>
    <w:rsid w:val="6148FF77"/>
    <w:rsid w:val="615A5333"/>
    <w:rsid w:val="618ED899"/>
    <w:rsid w:val="61FAE467"/>
    <w:rsid w:val="62070607"/>
    <w:rsid w:val="622EC6AB"/>
    <w:rsid w:val="624D87CB"/>
    <w:rsid w:val="6280A253"/>
    <w:rsid w:val="62F77CC4"/>
    <w:rsid w:val="6316098C"/>
    <w:rsid w:val="63495A26"/>
    <w:rsid w:val="63904F2F"/>
    <w:rsid w:val="6390ECBE"/>
    <w:rsid w:val="6394CACC"/>
    <w:rsid w:val="63B5F79E"/>
    <w:rsid w:val="63EBABF4"/>
    <w:rsid w:val="6412414A"/>
    <w:rsid w:val="641F026A"/>
    <w:rsid w:val="644C658E"/>
    <w:rsid w:val="6455E5B0"/>
    <w:rsid w:val="648A6B16"/>
    <w:rsid w:val="648BD067"/>
    <w:rsid w:val="64BB40A8"/>
    <w:rsid w:val="64BDF558"/>
    <w:rsid w:val="64BF531E"/>
    <w:rsid w:val="64CC022A"/>
    <w:rsid w:val="6505CB45"/>
    <w:rsid w:val="6517BD8B"/>
    <w:rsid w:val="655C126A"/>
    <w:rsid w:val="6593D2C1"/>
    <w:rsid w:val="659B844B"/>
    <w:rsid w:val="65AF1D02"/>
    <w:rsid w:val="65D57960"/>
    <w:rsid w:val="660A1425"/>
    <w:rsid w:val="663598F7"/>
    <w:rsid w:val="6650DF4F"/>
    <w:rsid w:val="665ADCEA"/>
    <w:rsid w:val="66A809F9"/>
    <w:rsid w:val="673A96C1"/>
    <w:rsid w:val="6747F80B"/>
    <w:rsid w:val="67C7C068"/>
    <w:rsid w:val="67C994B7"/>
    <w:rsid w:val="67D54A80"/>
    <w:rsid w:val="685341B1"/>
    <w:rsid w:val="6883D91B"/>
    <w:rsid w:val="68A12F5D"/>
    <w:rsid w:val="68C6D7CC"/>
    <w:rsid w:val="68D4ACB1"/>
    <w:rsid w:val="69148494"/>
    <w:rsid w:val="696467FE"/>
    <w:rsid w:val="696949F3"/>
    <w:rsid w:val="699B4B44"/>
    <w:rsid w:val="69C0DE54"/>
    <w:rsid w:val="69F1BA73"/>
    <w:rsid w:val="69F87BBF"/>
    <w:rsid w:val="6A1EDC9E"/>
    <w:rsid w:val="6A590F26"/>
    <w:rsid w:val="6AA1B760"/>
    <w:rsid w:val="6B0BB1BA"/>
    <w:rsid w:val="6B67D7CD"/>
    <w:rsid w:val="6B9341B8"/>
    <w:rsid w:val="6BB7BB37"/>
    <w:rsid w:val="6BB9B375"/>
    <w:rsid w:val="6C0DECA4"/>
    <w:rsid w:val="6D0B581C"/>
    <w:rsid w:val="6D2C4B32"/>
    <w:rsid w:val="6D942C69"/>
    <w:rsid w:val="6D94B949"/>
    <w:rsid w:val="6DB20F8B"/>
    <w:rsid w:val="6DCB5EF7"/>
    <w:rsid w:val="6DD6890A"/>
    <w:rsid w:val="6DD88148"/>
    <w:rsid w:val="6DEE7361"/>
    <w:rsid w:val="6DFD7CE0"/>
    <w:rsid w:val="6E2506FA"/>
    <w:rsid w:val="6E73C56B"/>
    <w:rsid w:val="6E77A60C"/>
    <w:rsid w:val="6E868303"/>
    <w:rsid w:val="6E88BA46"/>
    <w:rsid w:val="6EED4D66"/>
    <w:rsid w:val="6F296F8F"/>
    <w:rsid w:val="6F4AEA94"/>
    <w:rsid w:val="6F51DBFB"/>
    <w:rsid w:val="6FCC8740"/>
    <w:rsid w:val="7031BE07"/>
    <w:rsid w:val="70683113"/>
    <w:rsid w:val="706B4662"/>
    <w:rsid w:val="709FCBC8"/>
    <w:rsid w:val="70D7DDFE"/>
    <w:rsid w:val="70D9D63C"/>
    <w:rsid w:val="70E5C392"/>
    <w:rsid w:val="711D9E3B"/>
    <w:rsid w:val="71351DA2"/>
    <w:rsid w:val="71E8F733"/>
    <w:rsid w:val="72064D75"/>
    <w:rsid w:val="720BEEFA"/>
    <w:rsid w:val="721D7C99"/>
    <w:rsid w:val="725201FF"/>
    <w:rsid w:val="727AD19C"/>
    <w:rsid w:val="72BC3BBB"/>
    <w:rsid w:val="72BD4F7B"/>
    <w:rsid w:val="7330C56E"/>
    <w:rsid w:val="734E1624"/>
    <w:rsid w:val="735D58BD"/>
    <w:rsid w:val="735E91D6"/>
    <w:rsid w:val="736966F9"/>
    <w:rsid w:val="737A0CEF"/>
    <w:rsid w:val="73854C39"/>
    <w:rsid w:val="73A576DA"/>
    <w:rsid w:val="73CBE897"/>
    <w:rsid w:val="740FB096"/>
    <w:rsid w:val="74C3DA6A"/>
    <w:rsid w:val="74DC387E"/>
    <w:rsid w:val="752BB646"/>
    <w:rsid w:val="755485E3"/>
    <w:rsid w:val="75627938"/>
    <w:rsid w:val="7562998C"/>
    <w:rsid w:val="75738518"/>
    <w:rsid w:val="75C11D7F"/>
    <w:rsid w:val="7655E0EB"/>
    <w:rsid w:val="76CA33CF"/>
    <w:rsid w:val="774A8419"/>
    <w:rsid w:val="775271F4"/>
    <w:rsid w:val="786409B7"/>
    <w:rsid w:val="78CD862C"/>
    <w:rsid w:val="78DBFF77"/>
    <w:rsid w:val="793F97EA"/>
    <w:rsid w:val="79AF43FF"/>
    <w:rsid w:val="79D8A04D"/>
    <w:rsid w:val="79DBCF90"/>
    <w:rsid w:val="7A17CA2D"/>
    <w:rsid w:val="7A2B54C6"/>
    <w:rsid w:val="7A3A60B1"/>
    <w:rsid w:val="7A3C9674"/>
    <w:rsid w:val="7A5E87CF"/>
    <w:rsid w:val="7A889B41"/>
    <w:rsid w:val="7AB870A9"/>
    <w:rsid w:val="7AEB604E"/>
    <w:rsid w:val="7B02D2BB"/>
    <w:rsid w:val="7B301BFE"/>
    <w:rsid w:val="7B568DBB"/>
    <w:rsid w:val="7B62F5E3"/>
    <w:rsid w:val="7B62FDA3"/>
    <w:rsid w:val="7B63D816"/>
    <w:rsid w:val="7BA54235"/>
    <w:rsid w:val="7BF5AACA"/>
    <w:rsid w:val="7C0F49C6"/>
    <w:rsid w:val="7C0F7BF1"/>
    <w:rsid w:val="7C9A618E"/>
    <w:rsid w:val="7CB098F3"/>
    <w:rsid w:val="7CB32144"/>
    <w:rsid w:val="7CFEF70A"/>
    <w:rsid w:val="7D21C416"/>
    <w:rsid w:val="7D57786C"/>
    <w:rsid w:val="7D667D9C"/>
    <w:rsid w:val="7D6F6C7E"/>
    <w:rsid w:val="7D7CBB39"/>
    <w:rsid w:val="7D9598DB"/>
    <w:rsid w:val="7D963F6D"/>
    <w:rsid w:val="7DAEC138"/>
    <w:rsid w:val="7DE952D5"/>
    <w:rsid w:val="7DEA9BB1"/>
    <w:rsid w:val="7E21650B"/>
    <w:rsid w:val="7E2D1AD4"/>
    <w:rsid w:val="7E2F0160"/>
    <w:rsid w:val="7E3A8C6D"/>
    <w:rsid w:val="7E49CF06"/>
    <w:rsid w:val="7E652D0A"/>
    <w:rsid w:val="7E788C2E"/>
    <w:rsid w:val="7E9A96A5"/>
    <w:rsid w:val="7EB49AE5"/>
    <w:rsid w:val="7F158CA5"/>
    <w:rsid w:val="7F387192"/>
    <w:rsid w:val="7F850DD7"/>
    <w:rsid w:val="7FD00E72"/>
    <w:rsid w:val="7FD13D62"/>
    <w:rsid w:val="7FD98E94"/>
    <w:rsid w:val="7FDF510B"/>
    <w:rsid w:val="7FEE9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9166"/>
  <w15:chartTrackingRefBased/>
  <w15:docId w15:val="{C6A5E0A9-637E-41A4-B8F4-0577EEC1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12AE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2AE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512AE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512AE1"/>
    <w:pPr>
      <w:ind w:left="720"/>
      <w:contextualSpacing/>
    </w:pPr>
  </w:style>
  <w:style w:type="character" w:styleId="Ttulo2Car" w:customStyle="1">
    <w:name w:val="Título 2 Car"/>
    <w:basedOn w:val="Fuentedeprrafopredeter"/>
    <w:link w:val="Ttulo2"/>
    <w:uiPriority w:val="9"/>
    <w:rsid w:val="00512AE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Piedepgina">
    <w:name w:val="footer"/>
    <w:basedOn w:val="Normal"/>
    <w:link w:val="PiedepginaCar"/>
    <w:uiPriority w:val="99"/>
    <w:unhideWhenUsed/>
    <w:rsid w:val="00540D0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40D0A"/>
  </w:style>
  <w:style w:type="table" w:styleId="Tablaconcuadrcula1" w:customStyle="1">
    <w:name w:val="Tabla con cuadrícula1"/>
    <w:rsid w:val="00E839E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8228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C3D2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/>
    <w:rsid w:val="001C3D26"/>
  </w:style>
  <w:style w:type="paragraph" w:styleId="Textocomentario">
    <w:name w:val="annotation text"/>
    <w:basedOn w:val="Normal"/>
    <w:link w:val="TextocomentarioCar"/>
    <w:uiPriority w:val="99"/>
    <w:unhideWhenUsed/>
    <w:rsid w:val="001C3D2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1C3D26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C3D2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17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5717D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577E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n">
    <w:name w:val="Revision"/>
    <w:hidden/>
    <w:uiPriority w:val="99"/>
    <w:semiHidden/>
    <w:rsid w:val="00615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3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Daniela Alexis Violeta Vazquez</dc:creator>
  <keywords/>
  <dc:description/>
  <lastModifiedBy>Héctor Gómez</lastModifiedBy>
  <revision>27</revision>
  <dcterms:created xsi:type="dcterms:W3CDTF">2023-03-30T23:04:00.0000000Z</dcterms:created>
  <dcterms:modified xsi:type="dcterms:W3CDTF">2023-04-24T21:57:36.2493495Z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--- Confidencial ---</vt:lpwstr>
  </property>
  <property fmtid="{D5CDD505-2E9C-101B-9397-08002B2CF9AE}" pid="5" name="MSIP_Label_07bf0c36-150b-45f2-935d-cef4d290e0c8_Enabled">
    <vt:lpwstr>true</vt:lpwstr>
  </property>
  <property fmtid="{D5CDD505-2E9C-101B-9397-08002B2CF9AE}" pid="6" name="MSIP_Label_07bf0c36-150b-45f2-935d-cef4d290e0c8_SetDate">
    <vt:lpwstr>2023-02-21T00:15:31Z</vt:lpwstr>
  </property>
  <property fmtid="{D5CDD505-2E9C-101B-9397-08002B2CF9AE}" pid="7" name="MSIP_Label_07bf0c36-150b-45f2-935d-cef4d290e0c8_Method">
    <vt:lpwstr>Standard</vt:lpwstr>
  </property>
  <property fmtid="{D5CDD505-2E9C-101B-9397-08002B2CF9AE}" pid="8" name="MSIP_Label_07bf0c36-150b-45f2-935d-cef4d290e0c8_Name">
    <vt:lpwstr>07bf0c36-150b-45f2-935d-cef4d290e0c8</vt:lpwstr>
  </property>
  <property fmtid="{D5CDD505-2E9C-101B-9397-08002B2CF9AE}" pid="9" name="MSIP_Label_07bf0c36-150b-45f2-935d-cef4d290e0c8_SiteId">
    <vt:lpwstr>f0113a99-d66e-4a33-8db7-618141ec1fd0</vt:lpwstr>
  </property>
  <property fmtid="{D5CDD505-2E9C-101B-9397-08002B2CF9AE}" pid="10" name="MSIP_Label_07bf0c36-150b-45f2-935d-cef4d290e0c8_ActionId">
    <vt:lpwstr>52e0d0b6-db0f-4b75-a13c-ab2d53d40e46</vt:lpwstr>
  </property>
  <property fmtid="{D5CDD505-2E9C-101B-9397-08002B2CF9AE}" pid="11" name="MSIP_Label_07bf0c36-150b-45f2-935d-cef4d290e0c8_ContentBits">
    <vt:lpwstr>2</vt:lpwstr>
  </property>
</Properties>
</file>